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color w:val="auto"/>
          <w:sz w:val="36"/>
          <w:szCs w:val="36"/>
        </w:rPr>
      </w:pPr>
      <w:r>
        <w:rPr>
          <w:rFonts w:hint="eastAsia" w:ascii="宋体" w:hAnsi="宋体" w:cs="宋体"/>
          <w:b/>
          <w:bCs/>
          <w:color w:val="auto"/>
          <w:sz w:val="36"/>
          <w:szCs w:val="36"/>
        </w:rPr>
        <w:t>采 购 合 同</w:t>
      </w:r>
    </w:p>
    <w:p>
      <w:pPr>
        <w:spacing w:line="360" w:lineRule="auto"/>
        <w:jc w:val="right"/>
        <w:rPr>
          <w:rFonts w:ascii="宋体" w:hAnsi="宋体" w:cs="宋体"/>
          <w:color w:val="auto"/>
          <w:sz w:val="24"/>
        </w:rPr>
      </w:pPr>
      <w:r>
        <w:rPr>
          <w:rFonts w:hint="eastAsia" w:ascii="宋体" w:hAnsi="宋体" w:cs="宋体"/>
          <w:color w:val="auto"/>
          <w:sz w:val="24"/>
        </w:rPr>
        <w:t>合同编号：【              】号</w:t>
      </w:r>
    </w:p>
    <w:p>
      <w:pPr>
        <w:spacing w:line="360" w:lineRule="auto"/>
        <w:jc w:val="right"/>
        <w:rPr>
          <w:rFonts w:ascii="宋体" w:hAnsi="宋体" w:cs="宋体"/>
          <w:color w:val="auto"/>
          <w:sz w:val="24"/>
        </w:rPr>
      </w:pPr>
      <w:r>
        <w:rPr>
          <w:rFonts w:hint="eastAsia" w:ascii="宋体" w:hAnsi="宋体" w:cs="宋体"/>
          <w:color w:val="auto"/>
          <w:sz w:val="24"/>
        </w:rPr>
        <w:t>签署日期：【                】</w:t>
      </w:r>
    </w:p>
    <w:p>
      <w:pPr>
        <w:spacing w:line="360" w:lineRule="auto"/>
        <w:jc w:val="right"/>
        <w:rPr>
          <w:rFonts w:ascii="宋体" w:hAnsi="宋体" w:cs="宋体"/>
          <w:color w:val="auto"/>
          <w:sz w:val="24"/>
        </w:rPr>
      </w:pPr>
    </w:p>
    <w:p>
      <w:pPr>
        <w:spacing w:line="360" w:lineRule="auto"/>
        <w:rPr>
          <w:rFonts w:ascii="宋体" w:hAnsi="宋体" w:cs="宋体"/>
          <w:b/>
          <w:color w:val="auto"/>
          <w:sz w:val="24"/>
          <w:u w:val="single"/>
        </w:rPr>
      </w:pPr>
      <w:r>
        <w:rPr>
          <w:rFonts w:hint="eastAsia" w:ascii="宋体" w:hAnsi="宋体" w:cs="宋体"/>
          <w:b/>
          <w:color w:val="auto"/>
          <w:sz w:val="24"/>
        </w:rPr>
        <w:t>甲方（需方）：</w:t>
      </w:r>
      <w:r>
        <w:rPr>
          <w:rFonts w:hint="eastAsia" w:ascii="宋体" w:hAnsi="宋体" w:cs="宋体"/>
          <w:color w:val="auto"/>
          <w:sz w:val="24"/>
        </w:rPr>
        <w:t>【</w:t>
      </w:r>
      <w:r>
        <w:rPr>
          <w:rFonts w:hint="eastAsia" w:ascii="宋体" w:hAnsi="宋体" w:cs="宋体"/>
          <w:color w:val="auto"/>
          <w:sz w:val="24"/>
          <w:lang w:val="en-US" w:eastAsia="zh-CN"/>
        </w:rPr>
        <w:t xml:space="preserve">       </w:t>
      </w: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b/>
          <w:color w:val="auto"/>
          <w:sz w:val="24"/>
        </w:rPr>
        <w:t>乙方（供方）：</w:t>
      </w:r>
      <w:r>
        <w:rPr>
          <w:rFonts w:hint="eastAsia" w:ascii="宋体" w:hAnsi="宋体" w:cs="宋体"/>
          <w:color w:val="auto"/>
          <w:sz w:val="24"/>
        </w:rPr>
        <w:t>【       】</w:t>
      </w:r>
    </w:p>
    <w:p>
      <w:pPr>
        <w:spacing w:line="360" w:lineRule="auto"/>
        <w:ind w:firstLine="480"/>
        <w:rPr>
          <w:rFonts w:ascii="宋体" w:hAnsi="宋体" w:cs="宋体"/>
          <w:bCs/>
          <w:color w:val="auto"/>
          <w:sz w:val="24"/>
        </w:rPr>
      </w:pPr>
      <w:r>
        <w:rPr>
          <w:rFonts w:hint="eastAsia" w:ascii="宋体" w:hAnsi="宋体" w:cs="宋体"/>
          <w:bCs/>
          <w:color w:val="auto"/>
          <w:sz w:val="24"/>
        </w:rPr>
        <w:t>甲乙双方本着平等互利的原则，根据《中华人民共和国民法典》及相关法律法规之规定，就乙方向甲方供应货物等相关事宜，经双方协商一致，订立本合同，以资共同遵守。</w:t>
      </w:r>
    </w:p>
    <w:p>
      <w:pPr>
        <w:spacing w:line="360" w:lineRule="auto"/>
        <w:ind w:firstLine="471" w:firstLineChars="196"/>
        <w:rPr>
          <w:rFonts w:ascii="宋体" w:hAnsi="宋体" w:cs="宋体"/>
          <w:b/>
          <w:bCs/>
          <w:color w:val="auto"/>
          <w:sz w:val="24"/>
        </w:rPr>
      </w:pPr>
      <w:r>
        <w:rPr>
          <w:rFonts w:hint="eastAsia" w:ascii="宋体" w:hAnsi="宋体" w:cs="宋体"/>
          <w:b/>
          <w:bCs/>
          <w:color w:val="auto"/>
          <w:sz w:val="24"/>
        </w:rPr>
        <w:t>第一条  合同标的</w:t>
      </w:r>
    </w:p>
    <w:p>
      <w:pPr>
        <w:spacing w:line="360" w:lineRule="auto"/>
        <w:ind w:firstLine="470" w:firstLineChars="196"/>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auto"/>
          <w:sz w:val="24"/>
        </w:rPr>
        <w:t>1.1本合同系明确双方买卖法律关系的框架协议，乙方向甲方供应的货物主要为【    】等，货物的具体名称、规格、型号、品牌、生产厂家、数量、价格等信息，</w:t>
      </w:r>
      <w:r>
        <w:rPr>
          <w:rFonts w:hint="eastAsia" w:ascii="宋体" w:hAnsi="宋体" w:cs="宋体"/>
          <w:color w:val="000000" w:themeColor="text1"/>
          <w:sz w:val="24"/>
          <w:lang w:val="en-US" w:eastAsia="zh-CN"/>
          <w14:textFill>
            <w14:solidFill>
              <w14:schemeClr w14:val="tx1"/>
            </w14:solidFill>
          </w14:textFill>
        </w:rPr>
        <w:t>详见附件5《产品报价清单》，如合同签订后新增产品以双方确认报价单信息为准。</w:t>
      </w:r>
    </w:p>
    <w:p>
      <w:pPr>
        <w:spacing w:line="360" w:lineRule="auto"/>
        <w:ind w:firstLine="470" w:firstLineChars="196"/>
        <w:rPr>
          <w:rFonts w:ascii="宋体" w:hAnsi="宋体" w:cs="宋体"/>
          <w:color w:val="auto"/>
          <w:sz w:val="24"/>
        </w:rPr>
      </w:pPr>
      <w:r>
        <w:rPr>
          <w:rFonts w:hint="eastAsia" w:ascii="宋体" w:hAnsi="宋体" w:cs="宋体"/>
          <w:color w:val="000000" w:themeColor="text1"/>
          <w:sz w:val="24"/>
          <w14:textFill>
            <w14:solidFill>
              <w14:schemeClr w14:val="tx1"/>
            </w14:solidFill>
          </w14:textFill>
        </w:rPr>
        <w:t>1.2</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合同期限内，</w:t>
      </w:r>
      <w:r>
        <w:rPr>
          <w:rFonts w:hint="eastAsia" w:ascii="宋体" w:hAnsi="宋体" w:cs="宋体"/>
          <w:color w:val="000000" w:themeColor="text1"/>
          <w:sz w:val="24"/>
          <w:lang w:val="en-US" w:eastAsia="zh-CN"/>
          <w14:textFill>
            <w14:solidFill>
              <w14:schemeClr w14:val="tx1"/>
            </w14:solidFill>
          </w14:textFill>
        </w:rPr>
        <w:t>乙方在</w:t>
      </w:r>
      <w:r>
        <w:rPr>
          <w:rFonts w:hint="eastAsia" w:ascii="宋体" w:hAnsi="宋体" w:cs="宋体"/>
          <w:color w:val="000000" w:themeColor="text1"/>
          <w:sz w:val="24"/>
          <w14:textFill>
            <w14:solidFill>
              <w14:schemeClr w14:val="tx1"/>
            </w14:solidFill>
          </w14:textFill>
        </w:rPr>
        <w:t>鲜生活食材保达系统</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以下简称“系统”，系统网址：</w:t>
      </w: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HYPERLINK "https://fe-pas-web.canpan.net/#/login），按照【" </w:instrText>
      </w:r>
      <w:r>
        <w:rPr>
          <w:rFonts w:hint="eastAsia" w:ascii="宋体" w:hAnsi="宋体" w:cs="宋体"/>
          <w:color w:val="000000" w:themeColor="text1"/>
          <w:sz w:val="24"/>
          <w14:textFill>
            <w14:solidFill>
              <w14:schemeClr w14:val="tx1"/>
            </w14:solidFill>
          </w14:textFill>
        </w:rPr>
        <w:fldChar w:fldCharType="separate"/>
      </w:r>
      <w:r>
        <w:rPr>
          <w:rStyle w:val="18"/>
          <w:rFonts w:hint="eastAsia" w:ascii="宋体" w:hAnsi="宋体" w:cs="宋体"/>
          <w:color w:val="000000" w:themeColor="text1"/>
          <w:sz w:val="24"/>
          <w14:textFill>
            <w14:solidFill>
              <w14:schemeClr w14:val="tx1"/>
            </w14:solidFill>
          </w14:textFill>
        </w:rPr>
        <w:t>https://fe-pas-web.canpan.net/#/login</w:t>
      </w:r>
      <w:r>
        <w:rPr>
          <w:rStyle w:val="18"/>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按照</w:t>
      </w:r>
      <w:r>
        <w:rPr>
          <w:rFonts w:hint="eastAsia" w:ascii="宋体" w:hAnsi="宋体" w:cs="宋体"/>
          <w:color w:val="000000" w:themeColor="text1"/>
          <w:sz w:val="24"/>
          <w:lang w:val="en-US" w:eastAsia="zh-CN"/>
          <w14:textFill>
            <w14:solidFill>
              <w14:schemeClr w14:val="tx1"/>
            </w14:solidFill>
          </w14:textFill>
        </w:rPr>
        <w:sym w:font="Wingdings 2" w:char="00A3"/>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auto"/>
          <w:sz w:val="24"/>
          <w:lang w:val="en-US" w:eastAsia="zh-CN"/>
        </w:rPr>
        <w:t>每周一次</w:t>
      </w:r>
      <w:r>
        <w:rPr>
          <w:rFonts w:hint="eastAsia" w:ascii="宋体" w:hAnsi="宋体" w:cs="宋体"/>
          <w:color w:val="auto"/>
          <w:sz w:val="24"/>
          <w:lang w:val="en-US" w:eastAsia="zh-CN"/>
        </w:rPr>
        <w:sym w:font="Wingdings 2" w:char="00A3"/>
      </w:r>
      <w:r>
        <w:rPr>
          <w:rFonts w:hint="eastAsia" w:ascii="宋体" w:hAnsi="宋体" w:cs="宋体"/>
          <w:color w:val="auto"/>
          <w:sz w:val="24"/>
          <w:lang w:val="en-US" w:eastAsia="zh-CN"/>
        </w:rPr>
        <w:t>每半月一次</w:t>
      </w:r>
      <w:r>
        <w:rPr>
          <w:rFonts w:hint="eastAsia" w:ascii="宋体" w:hAnsi="宋体" w:cs="宋体"/>
          <w:color w:val="auto"/>
          <w:sz w:val="24"/>
          <w:lang w:val="en-US" w:eastAsia="zh-CN"/>
        </w:rPr>
        <w:sym w:font="Wingdings 2" w:char="00A3"/>
      </w:r>
      <w:r>
        <w:rPr>
          <w:rFonts w:hint="eastAsia" w:ascii="宋体" w:hAnsi="宋体" w:cs="宋体"/>
          <w:color w:val="auto"/>
          <w:sz w:val="24"/>
          <w:lang w:val="en-US" w:eastAsia="zh-CN"/>
        </w:rPr>
        <w:t>每自然月一次</w:t>
      </w:r>
      <w:r>
        <w:rPr>
          <w:rFonts w:hint="eastAsia" w:ascii="宋体" w:hAnsi="宋体" w:cs="宋体"/>
          <w:color w:val="auto"/>
          <w:sz w:val="24"/>
          <w:lang w:val="en-US" w:eastAsia="zh-CN"/>
        </w:rPr>
        <w:sym w:font="Wingdings 2" w:char="00A3"/>
      </w:r>
      <w:r>
        <w:rPr>
          <w:rFonts w:hint="eastAsia" w:ascii="宋体" w:hAnsi="宋体" w:cs="宋体"/>
          <w:color w:val="auto"/>
          <w:sz w:val="24"/>
          <w:lang w:val="en-US" w:eastAsia="zh-CN"/>
        </w:rPr>
        <w:t>其他【    】的频率</w:t>
      </w:r>
      <w:r>
        <w:rPr>
          <w:rFonts w:hint="eastAsia" w:ascii="宋体" w:hAnsi="宋体" w:cs="宋体"/>
          <w:color w:val="auto"/>
          <w:sz w:val="24"/>
        </w:rPr>
        <w:t>向甲方提供报价</w:t>
      </w:r>
      <w:r>
        <w:rPr>
          <w:rFonts w:hint="eastAsia" w:ascii="宋体" w:hAnsi="宋体" w:cs="宋体"/>
          <w:color w:val="auto"/>
          <w:sz w:val="24"/>
          <w:lang w:eastAsia="zh-CN"/>
        </w:rPr>
        <w:t>。</w:t>
      </w:r>
      <w:r>
        <w:rPr>
          <w:rFonts w:hint="eastAsia" w:ascii="宋体" w:hAnsi="宋体" w:cs="宋体"/>
          <w:color w:val="auto"/>
          <w:sz w:val="24"/>
          <w:lang w:val="en-US" w:eastAsia="zh-CN"/>
        </w:rPr>
        <w:t>甲方下单则视为认可乙方系统报价，不认可的由双方线下协商后修改</w:t>
      </w:r>
      <w:r>
        <w:rPr>
          <w:rFonts w:hint="eastAsia" w:ascii="宋体" w:hAnsi="宋体" w:cs="宋体"/>
          <w:color w:val="auto"/>
          <w:sz w:val="24"/>
        </w:rPr>
        <w:t>。若甲方需要增加采购货物类别的，乙方就新增货物按前述约定提供报价单。为免疑义，报价单所列产品价格均为含税价格，若报价单有效期限内，有权机关调整相关产品所涉税率的，双方执行的产品价格自动进行相应调整，即：产品价格按照报价单价格及原税率计算不含税价格、再以不含税价格及新税率计算新含税价格予以执行。</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1.3</w:t>
      </w:r>
      <w:r>
        <w:rPr>
          <w:rFonts w:hint="eastAsia" w:ascii="宋体" w:hAnsi="宋体" w:cs="宋体"/>
          <w:color w:val="auto"/>
          <w:sz w:val="24"/>
          <w:lang w:val="en-US" w:eastAsia="zh-CN"/>
        </w:rPr>
        <w:t xml:space="preserve"> </w:t>
      </w:r>
      <w:r>
        <w:rPr>
          <w:rFonts w:hint="eastAsia" w:ascii="宋体" w:hAnsi="宋体" w:cs="宋体"/>
          <w:color w:val="auto"/>
          <w:sz w:val="24"/>
        </w:rPr>
        <w:t>本合同签订生效后，甲方于有效报价单的货物范围、产品价格且到货期限不短于【</w:t>
      </w:r>
      <w:r>
        <w:rPr>
          <w:rFonts w:hint="eastAsia" w:ascii="宋体" w:hAnsi="宋体" w:cs="宋体"/>
          <w:color w:val="auto"/>
          <w:sz w:val="24"/>
          <w:lang w:eastAsia="zh-CN"/>
        </w:rPr>
        <w:t xml:space="preserve"> </w:t>
      </w:r>
      <w:r>
        <w:rPr>
          <w:rFonts w:hint="eastAsia" w:ascii="宋体" w:hAnsi="宋体" w:cs="宋体"/>
          <w:color w:val="auto"/>
          <w:sz w:val="24"/>
        </w:rPr>
        <w:t>】日的基础上向乙方发出的采购订单，乙方不得拒绝接受订单。乙方应于收到</w:t>
      </w:r>
      <w:r>
        <w:rPr>
          <w:rFonts w:hint="eastAsia" w:ascii="宋体" w:hAnsi="宋体" w:cs="宋体"/>
          <w:color w:val="auto"/>
          <w:sz w:val="24"/>
          <w:lang w:val="en-US" w:eastAsia="zh-CN"/>
        </w:rPr>
        <w:t>系统</w:t>
      </w:r>
      <w:r>
        <w:rPr>
          <w:rFonts w:hint="eastAsia" w:ascii="宋体" w:hAnsi="宋体" w:cs="宋体"/>
          <w:color w:val="auto"/>
          <w:sz w:val="24"/>
        </w:rPr>
        <w:t>订单后【</w:t>
      </w:r>
      <w:r>
        <w:rPr>
          <w:rFonts w:hint="eastAsia" w:ascii="宋体" w:hAnsi="宋体" w:cs="宋体"/>
          <w:color w:val="auto"/>
          <w:sz w:val="24"/>
          <w:lang w:val="en-US" w:eastAsia="zh-CN"/>
        </w:rPr>
        <w:t xml:space="preserve">  </w:t>
      </w:r>
      <w:r>
        <w:rPr>
          <w:rFonts w:hint="eastAsia" w:ascii="宋体" w:hAnsi="宋体" w:cs="宋体"/>
          <w:color w:val="auto"/>
          <w:sz w:val="24"/>
        </w:rPr>
        <w:t>】小时内进行</w:t>
      </w:r>
      <w:r>
        <w:rPr>
          <w:rFonts w:hint="eastAsia" w:ascii="宋体" w:hAnsi="宋体" w:cs="宋体"/>
          <w:color w:val="auto"/>
          <w:sz w:val="24"/>
          <w:lang w:val="en-US" w:eastAsia="zh-CN"/>
        </w:rPr>
        <w:t>接单确认</w:t>
      </w:r>
      <w:r>
        <w:rPr>
          <w:rFonts w:hint="eastAsia" w:ascii="宋体" w:hAnsi="宋体" w:cs="宋体"/>
          <w:color w:val="auto"/>
          <w:sz w:val="24"/>
        </w:rPr>
        <w:t>，如有异议，应</w:t>
      </w:r>
      <w:r>
        <w:rPr>
          <w:rFonts w:hint="eastAsia" w:ascii="宋体" w:hAnsi="宋体" w:cs="宋体"/>
          <w:color w:val="auto"/>
          <w:sz w:val="24"/>
          <w:lang w:val="en-US" w:eastAsia="zh-CN"/>
        </w:rPr>
        <w:t>及时与甲方进行沟通。乙方清楚知悉</w:t>
      </w:r>
      <w:r>
        <w:rPr>
          <w:rFonts w:hint="eastAsia" w:ascii="宋体" w:hAnsi="宋体" w:cs="宋体"/>
          <w:color w:val="auto"/>
          <w:sz w:val="24"/>
        </w:rPr>
        <w:t>如</w:t>
      </w:r>
      <w:r>
        <w:rPr>
          <w:rFonts w:hint="eastAsia" w:ascii="宋体" w:hAnsi="宋体" w:cs="宋体"/>
          <w:color w:val="auto"/>
          <w:sz w:val="24"/>
          <w:lang w:val="en-US" w:eastAsia="zh-CN"/>
        </w:rPr>
        <w:t>其</w:t>
      </w:r>
      <w:r>
        <w:rPr>
          <w:rFonts w:hint="eastAsia" w:ascii="宋体" w:hAnsi="宋体" w:cs="宋体"/>
          <w:color w:val="auto"/>
          <w:sz w:val="24"/>
        </w:rPr>
        <w:t>未</w:t>
      </w:r>
      <w:r>
        <w:rPr>
          <w:rFonts w:hint="eastAsia" w:ascii="宋体" w:hAnsi="宋体" w:eastAsia="宋体" w:cs="宋体"/>
          <w:color w:val="auto"/>
          <w:sz w:val="24"/>
          <w:lang w:val="en-US" w:eastAsia="zh-CN"/>
        </w:rPr>
        <w:t>按时确认的</w:t>
      </w:r>
      <w:r>
        <w:rPr>
          <w:rFonts w:hint="eastAsia" w:ascii="宋体" w:hAnsi="宋体" w:eastAsia="宋体" w:cs="宋体"/>
          <w:strike w:val="0"/>
          <w:color w:val="auto"/>
          <w:sz w:val="24"/>
          <w:lang w:eastAsia="zh-CN"/>
        </w:rPr>
        <w:t>，</w:t>
      </w:r>
      <w:r>
        <w:rPr>
          <w:rFonts w:hint="eastAsia" w:ascii="宋体" w:hAnsi="宋体" w:eastAsia="宋体" w:cs="宋体"/>
          <w:strike w:val="0"/>
          <w:color w:val="auto"/>
          <w:sz w:val="24"/>
          <w:lang w:val="en-US" w:eastAsia="zh-CN"/>
        </w:rPr>
        <w:t>系统将自动进行接单，届时如乙方未按订单履约的，将按照合同约定向甲方承担违约责任。</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1.4业务代表及联系方式</w:t>
      </w:r>
    </w:p>
    <w:p>
      <w:pPr>
        <w:spacing w:line="360" w:lineRule="auto"/>
        <w:ind w:firstLine="470" w:firstLineChars="196"/>
        <w:rPr>
          <w:rFonts w:ascii="宋体" w:hAnsi="宋体" w:cs="宋体"/>
          <w:color w:val="auto"/>
          <w:sz w:val="24"/>
        </w:rPr>
      </w:pPr>
      <w:r>
        <w:rPr>
          <w:rFonts w:hint="eastAsia" w:ascii="宋体" w:hAnsi="宋体" w:cs="宋体"/>
          <w:color w:val="auto"/>
          <w:sz w:val="24"/>
        </w:rPr>
        <w:t>1.4.1各方授权以下联系人为其业务代表，代表其履行本合同，包括但不限于</w:t>
      </w:r>
      <w:r>
        <w:rPr>
          <w:rFonts w:hint="eastAsia" w:ascii="宋体" w:hAnsi="宋体" w:cs="宋体"/>
          <w:color w:val="auto"/>
          <w:sz w:val="24"/>
          <w:lang w:val="en-US" w:eastAsia="zh-CN"/>
        </w:rPr>
        <w:t>系统账号的注册及保管，系统</w:t>
      </w:r>
      <w:r>
        <w:rPr>
          <w:rFonts w:hint="eastAsia" w:ascii="宋体" w:hAnsi="宋体" w:cs="宋体"/>
          <w:color w:val="auto"/>
          <w:sz w:val="24"/>
        </w:rPr>
        <w:t>报价单、采购订单、对账单等单据的确认与修改</w:t>
      </w:r>
      <w:r>
        <w:rPr>
          <w:rFonts w:hint="eastAsia" w:ascii="宋体" w:hAnsi="宋体" w:cs="宋体"/>
          <w:color w:val="auto"/>
          <w:sz w:val="24"/>
          <w:lang w:eastAsia="zh-CN"/>
        </w:rPr>
        <w:t>，</w:t>
      </w:r>
      <w:r>
        <w:rPr>
          <w:rFonts w:hint="eastAsia" w:ascii="宋体" w:hAnsi="宋体" w:cs="宋体"/>
          <w:color w:val="auto"/>
          <w:sz w:val="24"/>
        </w:rPr>
        <w:t>售后问题的协商与处理等。各方联系人及联系方式如下:</w:t>
      </w:r>
    </w:p>
    <w:p>
      <w:pPr>
        <w:spacing w:line="360" w:lineRule="auto"/>
        <w:ind w:firstLine="470" w:firstLineChars="196"/>
        <w:rPr>
          <w:rFonts w:ascii="宋体" w:hAnsi="宋体" w:cs="宋体"/>
          <w:color w:val="auto"/>
          <w:sz w:val="24"/>
        </w:rPr>
      </w:pPr>
      <w:r>
        <w:rPr>
          <w:rFonts w:hint="eastAsia" w:ascii="宋体" w:hAnsi="宋体" w:cs="宋体"/>
          <w:color w:val="auto"/>
          <w:sz w:val="24"/>
        </w:rPr>
        <w:t>（1）甲方联系人：【  】</w:t>
      </w:r>
    </w:p>
    <w:p>
      <w:pPr>
        <w:spacing w:line="360" w:lineRule="auto"/>
        <w:ind w:firstLine="470" w:firstLineChars="196"/>
        <w:rPr>
          <w:rFonts w:ascii="宋体" w:hAnsi="宋体" w:cs="宋体"/>
          <w:color w:val="auto"/>
          <w:sz w:val="24"/>
        </w:rPr>
      </w:pPr>
      <w:r>
        <w:rPr>
          <w:rFonts w:hint="eastAsia" w:ascii="宋体" w:hAnsi="宋体" w:cs="宋体"/>
          <w:color w:val="auto"/>
          <w:sz w:val="24"/>
        </w:rPr>
        <w:t>联系电话：【  】邮箱：【  】微信号：【  】</w:t>
      </w:r>
    </w:p>
    <w:p>
      <w:pPr>
        <w:spacing w:line="360" w:lineRule="auto"/>
        <w:ind w:firstLine="470" w:firstLineChars="196"/>
        <w:rPr>
          <w:rFonts w:ascii="宋体" w:hAnsi="宋体" w:cs="宋体"/>
          <w:color w:val="auto"/>
          <w:sz w:val="24"/>
        </w:rPr>
      </w:pPr>
      <w:r>
        <w:rPr>
          <w:rFonts w:hint="eastAsia" w:ascii="宋体" w:hAnsi="宋体" w:cs="宋体"/>
          <w:color w:val="auto"/>
          <w:sz w:val="24"/>
        </w:rPr>
        <w:t>联系地址：【  】</w:t>
      </w:r>
    </w:p>
    <w:p>
      <w:pPr>
        <w:spacing w:line="360" w:lineRule="auto"/>
        <w:ind w:firstLine="470" w:firstLineChars="196"/>
        <w:rPr>
          <w:rFonts w:ascii="宋体" w:hAnsi="宋体" w:cs="宋体"/>
          <w:color w:val="auto"/>
          <w:sz w:val="24"/>
        </w:rPr>
      </w:pPr>
      <w:r>
        <w:rPr>
          <w:rFonts w:hint="eastAsia" w:ascii="宋体" w:hAnsi="宋体" w:cs="宋体"/>
          <w:color w:val="auto"/>
          <w:sz w:val="24"/>
        </w:rPr>
        <w:t>（2）乙方联系人：【  】</w:t>
      </w:r>
    </w:p>
    <w:p>
      <w:pPr>
        <w:spacing w:line="360" w:lineRule="auto"/>
        <w:ind w:firstLine="470" w:firstLineChars="196"/>
        <w:rPr>
          <w:rFonts w:ascii="宋体" w:hAnsi="宋体" w:cs="宋体"/>
          <w:color w:val="auto"/>
          <w:sz w:val="24"/>
        </w:rPr>
      </w:pPr>
      <w:r>
        <w:rPr>
          <w:rFonts w:hint="eastAsia" w:ascii="宋体" w:hAnsi="宋体" w:cs="宋体"/>
          <w:color w:val="auto"/>
          <w:sz w:val="24"/>
        </w:rPr>
        <w:t>联系电话：【  】邮箱：【  】微信号：【  】</w:t>
      </w:r>
    </w:p>
    <w:p>
      <w:pPr>
        <w:spacing w:line="360" w:lineRule="auto"/>
        <w:ind w:firstLine="470" w:firstLineChars="196"/>
        <w:rPr>
          <w:rFonts w:ascii="宋体" w:hAnsi="宋体" w:cs="宋体"/>
          <w:color w:val="auto"/>
          <w:sz w:val="24"/>
        </w:rPr>
      </w:pPr>
      <w:r>
        <w:rPr>
          <w:rFonts w:hint="eastAsia" w:ascii="宋体" w:hAnsi="宋体" w:cs="宋体"/>
          <w:color w:val="auto"/>
          <w:sz w:val="24"/>
        </w:rPr>
        <w:t>联系地址：【  】</w:t>
      </w:r>
    </w:p>
    <w:p>
      <w:pPr>
        <w:spacing w:line="360" w:lineRule="auto"/>
        <w:ind w:firstLine="470" w:firstLineChars="196"/>
        <w:rPr>
          <w:rFonts w:ascii="宋体" w:hAnsi="宋体" w:cs="宋体"/>
          <w:color w:val="auto"/>
          <w:sz w:val="24"/>
        </w:rPr>
      </w:pPr>
      <w:r>
        <w:rPr>
          <w:rFonts w:hint="eastAsia" w:ascii="宋体" w:hAnsi="宋体" w:cs="宋体"/>
          <w:color w:val="auto"/>
          <w:sz w:val="24"/>
        </w:rPr>
        <w:t>1.4.2任何一方业务代表与/或联系方式变更的，均应提前【3】个工作日通知对方，通知送达前，对方行为仍以原信息为准，未及时通知造成的损失由变更方自行承担。</w:t>
      </w:r>
    </w:p>
    <w:p>
      <w:pPr>
        <w:spacing w:line="360" w:lineRule="auto"/>
        <w:ind w:firstLine="480" w:firstLineChars="200"/>
        <w:rPr>
          <w:rFonts w:ascii="宋体" w:hAnsi="宋体" w:cs="宋体"/>
          <w:b/>
          <w:bCs/>
          <w:color w:val="auto"/>
          <w:sz w:val="24"/>
        </w:rPr>
      </w:pPr>
      <w:r>
        <w:rPr>
          <w:rFonts w:hint="eastAsia" w:ascii="宋体" w:hAnsi="宋体" w:cs="宋体"/>
          <w:b/>
          <w:bCs/>
          <w:color w:val="auto"/>
          <w:sz w:val="24"/>
        </w:rPr>
        <w:t>第二条  质量标准</w:t>
      </w:r>
    </w:p>
    <w:p>
      <w:pPr>
        <w:spacing w:line="360" w:lineRule="auto"/>
        <w:ind w:firstLine="480"/>
        <w:rPr>
          <w:rFonts w:ascii="宋体" w:hAnsi="宋体" w:cs="宋体"/>
          <w:color w:val="auto"/>
          <w:sz w:val="24"/>
        </w:rPr>
      </w:pPr>
      <w:r>
        <w:rPr>
          <w:rFonts w:hint="eastAsia" w:ascii="宋体" w:hAnsi="宋体" w:cs="宋体"/>
          <w:color w:val="auto"/>
          <w:sz w:val="24"/>
        </w:rPr>
        <w:t>2.1乙方提供给甲方的产品及产品交付甲方前的运输及储存等须符合国家对这类食品的相关食品安全标准与质量要求，且符合产品生产属地的政府食品安全标准，同时还需符合甲方相关要求。</w:t>
      </w:r>
    </w:p>
    <w:p>
      <w:pPr>
        <w:spacing w:line="360" w:lineRule="auto"/>
        <w:ind w:firstLine="480"/>
        <w:rPr>
          <w:rFonts w:ascii="宋体" w:hAnsi="宋体" w:cs="宋体"/>
          <w:color w:val="auto"/>
          <w:sz w:val="24"/>
        </w:rPr>
      </w:pPr>
      <w:r>
        <w:rPr>
          <w:rFonts w:hint="eastAsia" w:ascii="宋体" w:hAnsi="宋体" w:cs="宋体"/>
          <w:color w:val="auto"/>
          <w:sz w:val="24"/>
        </w:rPr>
        <w:t>2.2甲方要求：【     】。</w:t>
      </w:r>
    </w:p>
    <w:p>
      <w:pPr>
        <w:spacing w:line="360" w:lineRule="auto"/>
        <w:ind w:firstLine="480"/>
        <w:rPr>
          <w:rFonts w:ascii="宋体" w:hAnsi="宋体" w:cs="宋体"/>
          <w:color w:val="auto"/>
          <w:sz w:val="24"/>
        </w:rPr>
      </w:pPr>
      <w:r>
        <w:rPr>
          <w:rFonts w:hint="eastAsia" w:ascii="宋体" w:hAnsi="宋体" w:cs="宋体"/>
          <w:color w:val="auto"/>
          <w:sz w:val="24"/>
        </w:rPr>
        <w:t>2.3前述质量要求、技术标准之间如有冲突，在符合强制性法律法规之规定的前提下由甲方选择适用、执行的标准。</w:t>
      </w:r>
    </w:p>
    <w:p>
      <w:pPr>
        <w:spacing w:line="360" w:lineRule="auto"/>
        <w:ind w:firstLine="480"/>
        <w:rPr>
          <w:rFonts w:ascii="宋体" w:hAnsi="宋体" w:cs="宋体"/>
          <w:color w:val="auto"/>
          <w:sz w:val="24"/>
        </w:rPr>
      </w:pPr>
      <w:r>
        <w:rPr>
          <w:rFonts w:hint="eastAsia" w:ascii="宋体" w:hAnsi="宋体" w:cs="宋体"/>
          <w:color w:val="auto"/>
          <w:sz w:val="24"/>
        </w:rPr>
        <w:t>2.4如乙方为生产型企业，须符合GB</w:t>
      </w:r>
      <w:r>
        <w:rPr>
          <w:rFonts w:ascii="宋体" w:hAnsi="宋体" w:cs="宋体"/>
          <w:color w:val="auto"/>
          <w:sz w:val="24"/>
        </w:rPr>
        <w:t>14881</w:t>
      </w:r>
      <w:r>
        <w:rPr>
          <w:rFonts w:hint="eastAsia" w:ascii="宋体" w:hAnsi="宋体" w:cs="宋体"/>
          <w:color w:val="auto"/>
          <w:sz w:val="24"/>
        </w:rPr>
        <w:t>《食品生产通用卫生规范》等相关食品通用类安全标准，并提供供应产品的年度型式检验和同批次内部检验报告。甲方有权定期或不定期自行或委托第三方对乙方进行现场审核或突击审核，并有权对乙方产品进行不定期的抽检（抽检项目包括但不限于该产品所执行标准中的所有项目），乙方应予以完全配合并协助（包括但不限于在甲方指定时间指定地点提供指定样品及相关资料等）；如乙方未能履行前述配合及协助义务，经甲方催告后仍未履行的，甲方有权解除本合同，乙方应承担相应违约责任。如果抽检合格，抽检费用由甲方承担。如果抽检结果不合格，乙方应承担由此结果产生的相关影响与费用（包括但不限于产品检测费、产品召回费用</w:t>
      </w:r>
      <w:r>
        <w:rPr>
          <w:rFonts w:hint="eastAsia" w:ascii="宋体" w:hAnsi="宋体" w:cs="宋体"/>
          <w:color w:val="auto"/>
          <w:sz w:val="24"/>
          <w:lang w:val="en-US" w:eastAsia="zh-CN"/>
        </w:rPr>
        <w:t>以及相关违约、赔偿</w:t>
      </w:r>
      <w:r>
        <w:rPr>
          <w:rFonts w:hint="eastAsia" w:ascii="宋体" w:hAnsi="宋体" w:cs="宋体"/>
          <w:color w:val="auto"/>
          <w:sz w:val="24"/>
        </w:rPr>
        <w:t>等）。为免疑义，甲方的检查行为并不免除乙方对产品的质量保障义务。</w:t>
      </w:r>
    </w:p>
    <w:p>
      <w:pPr>
        <w:numPr>
          <w:ilvl w:val="0"/>
          <w:numId w:val="1"/>
        </w:numPr>
        <w:spacing w:line="360" w:lineRule="auto"/>
        <w:ind w:firstLine="480" w:firstLineChars="200"/>
        <w:rPr>
          <w:rFonts w:ascii="宋体" w:hAnsi="宋体" w:cs="宋体"/>
          <w:b/>
          <w:bCs/>
          <w:color w:val="auto"/>
          <w:sz w:val="24"/>
        </w:rPr>
      </w:pPr>
      <w:r>
        <w:rPr>
          <w:rFonts w:hint="eastAsia" w:ascii="宋体" w:hAnsi="宋体" w:cs="宋体"/>
          <w:b/>
          <w:bCs/>
          <w:color w:val="auto"/>
          <w:sz w:val="24"/>
        </w:rPr>
        <w:t xml:space="preserve"> 产品交付</w:t>
      </w:r>
    </w:p>
    <w:p>
      <w:pPr>
        <w:spacing w:line="360" w:lineRule="auto"/>
        <w:ind w:firstLine="480"/>
        <w:rPr>
          <w:rFonts w:ascii="宋体" w:hAnsi="宋体" w:cs="宋体"/>
          <w:color w:val="auto"/>
          <w:sz w:val="24"/>
        </w:rPr>
      </w:pPr>
      <w:r>
        <w:rPr>
          <w:rFonts w:hint="eastAsia" w:ascii="宋体" w:hAnsi="宋体" w:cs="宋体"/>
          <w:color w:val="auto"/>
          <w:sz w:val="24"/>
        </w:rPr>
        <w:t>3.1交付数量：按照生效订单确定的数量进行交付，双方按照甲方</w:t>
      </w:r>
      <w:r>
        <w:rPr>
          <w:rFonts w:hint="eastAsia" w:ascii="宋体" w:hAnsi="宋体" w:cs="宋体"/>
          <w:color w:val="auto"/>
          <w:sz w:val="24"/>
          <w:lang w:val="en-US" w:eastAsia="zh-CN"/>
        </w:rPr>
        <w:t>实际</w:t>
      </w:r>
      <w:r>
        <w:rPr>
          <w:rFonts w:hint="eastAsia" w:ascii="宋体" w:hAnsi="宋体" w:cs="宋体"/>
          <w:color w:val="auto"/>
          <w:sz w:val="24"/>
        </w:rPr>
        <w:t>验收的产品数量</w:t>
      </w:r>
      <w:r>
        <w:rPr>
          <w:rFonts w:hint="eastAsia" w:ascii="宋体" w:hAnsi="宋体" w:cs="宋体"/>
          <w:color w:val="auto"/>
          <w:sz w:val="24"/>
          <w:lang w:eastAsia="zh-CN"/>
        </w:rPr>
        <w:t>（</w:t>
      </w:r>
      <w:r>
        <w:rPr>
          <w:rFonts w:hint="eastAsia" w:ascii="宋体" w:hAnsi="宋体" w:cs="宋体"/>
          <w:color w:val="auto"/>
          <w:sz w:val="24"/>
          <w:lang w:val="en-US" w:eastAsia="zh-CN"/>
        </w:rPr>
        <w:t>具体以系统数据为准</w:t>
      </w:r>
      <w:r>
        <w:rPr>
          <w:rFonts w:hint="eastAsia" w:ascii="宋体" w:hAnsi="宋体" w:cs="宋体"/>
          <w:color w:val="auto"/>
          <w:sz w:val="24"/>
          <w:lang w:eastAsia="zh-CN"/>
        </w:rPr>
        <w:t>）</w:t>
      </w:r>
      <w:r>
        <w:rPr>
          <w:rFonts w:hint="eastAsia" w:ascii="宋体" w:hAnsi="宋体" w:cs="宋体"/>
          <w:color w:val="auto"/>
          <w:sz w:val="24"/>
        </w:rPr>
        <w:t>进行结算。</w:t>
      </w:r>
    </w:p>
    <w:p>
      <w:pPr>
        <w:spacing w:line="360" w:lineRule="auto"/>
        <w:ind w:firstLine="480"/>
        <w:rPr>
          <w:rFonts w:ascii="宋体" w:hAnsi="宋体" w:cs="宋体"/>
          <w:color w:val="auto"/>
          <w:sz w:val="24"/>
        </w:rPr>
      </w:pPr>
      <w:r>
        <w:rPr>
          <w:rFonts w:hint="eastAsia" w:ascii="宋体" w:hAnsi="宋体" w:cs="宋体"/>
          <w:color w:val="auto"/>
          <w:sz w:val="24"/>
        </w:rPr>
        <w:t>3.2交货时间：以生效订单载明的交货时间为准，若乙方需提前或延迟交付的，应及时并事先取得甲方书面同意，否则，擅自提前交货需</w:t>
      </w:r>
      <w:r>
        <w:rPr>
          <w:rFonts w:hint="eastAsia" w:ascii="宋体" w:hAnsi="宋体" w:cs="宋体"/>
          <w:color w:val="auto"/>
          <w:sz w:val="24"/>
          <w:lang w:val="en-US" w:eastAsia="zh-Hans"/>
        </w:rPr>
        <w:t>按</w:t>
      </w:r>
      <w:r>
        <w:rPr>
          <w:rFonts w:hint="default" w:ascii="宋体" w:hAnsi="宋体" w:cs="宋体"/>
          <w:color w:val="auto"/>
          <w:sz w:val="24"/>
          <w:lang w:eastAsia="zh-Hans"/>
        </w:rPr>
        <w:t>【 】</w:t>
      </w:r>
      <w:r>
        <w:rPr>
          <w:rFonts w:hint="eastAsia" w:ascii="宋体" w:hAnsi="宋体" w:cs="宋体"/>
          <w:color w:val="auto"/>
          <w:sz w:val="24"/>
          <w:lang w:val="en-US" w:eastAsia="zh-Hans"/>
        </w:rPr>
        <w:t>标准</w:t>
      </w:r>
      <w:r>
        <w:rPr>
          <w:rFonts w:hint="eastAsia" w:ascii="宋体" w:hAnsi="宋体" w:cs="宋体"/>
          <w:color w:val="auto"/>
          <w:sz w:val="24"/>
        </w:rPr>
        <w:t>承担由此给甲方增加的仓储费等费用，延迟交货需承担逾期交货的违约责任。</w:t>
      </w:r>
    </w:p>
    <w:p>
      <w:pPr>
        <w:spacing w:line="360" w:lineRule="auto"/>
        <w:ind w:firstLine="480"/>
        <w:rPr>
          <w:rFonts w:ascii="宋体" w:hAnsi="宋体" w:cs="宋体"/>
          <w:color w:val="auto"/>
          <w:sz w:val="24"/>
        </w:rPr>
      </w:pPr>
      <w:r>
        <w:rPr>
          <w:rFonts w:hint="eastAsia" w:ascii="宋体" w:hAnsi="宋体" w:cs="宋体"/>
          <w:color w:val="auto"/>
          <w:sz w:val="24"/>
        </w:rPr>
        <w:t>3.3交货地点：以生效订单载明的交货地点为准。</w:t>
      </w:r>
    </w:p>
    <w:p>
      <w:pPr>
        <w:spacing w:line="360" w:lineRule="auto"/>
        <w:ind w:firstLine="480" w:firstLineChars="200"/>
        <w:rPr>
          <w:rFonts w:ascii="宋体" w:hAnsi="宋体" w:cs="宋体"/>
          <w:color w:val="auto"/>
          <w:sz w:val="24"/>
        </w:rPr>
      </w:pPr>
      <w:r>
        <w:rPr>
          <w:rFonts w:hint="eastAsia" w:ascii="宋体" w:hAnsi="宋体" w:cs="宋体"/>
          <w:color w:val="auto"/>
          <w:sz w:val="24"/>
        </w:rPr>
        <w:t>3.4产品运输：双方确认，产品运输按以下第【  】项执行：</w:t>
      </w:r>
    </w:p>
    <w:p>
      <w:pPr>
        <w:spacing w:line="360" w:lineRule="auto"/>
        <w:ind w:firstLine="480" w:firstLineChars="200"/>
        <w:rPr>
          <w:rFonts w:ascii="宋体" w:hAnsi="宋体" w:cs="宋体"/>
          <w:color w:val="auto"/>
          <w:sz w:val="24"/>
        </w:rPr>
      </w:pPr>
      <w:r>
        <w:rPr>
          <w:rFonts w:hint="eastAsia" w:ascii="宋体" w:hAnsi="宋体" w:cs="宋体"/>
          <w:color w:val="auto"/>
          <w:sz w:val="24"/>
        </w:rPr>
        <w:t>（1）甲方委托提货：甲方委托第三方承运人前往交货地点提取货物并运送至甲方或甲方指定地点，货物的装载由【  】（选填：甲方、乙方）负责；</w:t>
      </w:r>
      <w:r>
        <w:rPr>
          <w:rFonts w:hint="eastAsia" w:ascii="宋体" w:hAnsi="宋体" w:eastAsia="宋体" w:cs="宋体"/>
          <w:color w:val="auto"/>
          <w:sz w:val="24"/>
          <w:szCs w:val="24"/>
          <w:lang w:val="en-US" w:eastAsia="zh-CN"/>
        </w:rPr>
        <w:t>乙方通知交货后，若甲方需于交货时间后提货的，应及时通知乙方，乙方免收10日内的仓储费。</w:t>
      </w:r>
    </w:p>
    <w:p>
      <w:pPr>
        <w:spacing w:line="360" w:lineRule="auto"/>
        <w:ind w:firstLine="480" w:firstLineChars="200"/>
        <w:rPr>
          <w:rFonts w:ascii="宋体" w:hAnsi="宋体" w:cs="宋体"/>
          <w:color w:val="auto"/>
          <w:sz w:val="24"/>
        </w:rPr>
      </w:pPr>
      <w:r>
        <w:rPr>
          <w:rFonts w:hint="eastAsia" w:ascii="宋体" w:hAnsi="宋体" w:cs="宋体"/>
          <w:color w:val="auto"/>
          <w:sz w:val="24"/>
        </w:rPr>
        <w:t>（2）乙方送货上门：乙方负责将货物运送至交货地点，货物的卸载由【  】（选填：甲方、乙方）负责，</w:t>
      </w:r>
      <w:r>
        <w:rPr>
          <w:rFonts w:hint="eastAsia" w:ascii="宋体" w:hAnsi="宋体" w:cs="宋体"/>
          <w:color w:val="auto"/>
          <w:sz w:val="24"/>
          <w:szCs w:val="24"/>
          <w:lang w:val="en-US" w:eastAsia="zh-Hans"/>
        </w:rPr>
        <w:t>同时乙方应保证其运输条件满足相关货物的一般运输</w:t>
      </w:r>
      <w:r>
        <w:rPr>
          <w:rFonts w:hint="default" w:ascii="宋体" w:hAnsi="宋体" w:cs="宋体"/>
          <w:color w:val="auto"/>
          <w:sz w:val="24"/>
          <w:szCs w:val="24"/>
          <w:lang w:eastAsia="zh-Hans"/>
        </w:rPr>
        <w:t>/</w:t>
      </w:r>
      <w:r>
        <w:rPr>
          <w:rFonts w:hint="eastAsia" w:ascii="宋体" w:hAnsi="宋体" w:cs="宋体"/>
          <w:color w:val="auto"/>
          <w:sz w:val="24"/>
          <w:szCs w:val="24"/>
          <w:lang w:val="en-US" w:eastAsia="zh-Hans"/>
        </w:rPr>
        <w:t>存储要求</w:t>
      </w:r>
      <w:r>
        <w:rPr>
          <w:rFonts w:hint="default" w:ascii="宋体" w:hAnsi="宋体" w:cs="宋体"/>
          <w:color w:val="auto"/>
          <w:sz w:val="24"/>
          <w:szCs w:val="24"/>
          <w:lang w:eastAsia="zh-Hans"/>
        </w:rPr>
        <w:t>。</w:t>
      </w:r>
      <w:r>
        <w:rPr>
          <w:rFonts w:hint="eastAsia" w:ascii="宋体" w:hAnsi="宋体" w:cs="宋体"/>
          <w:color w:val="auto"/>
          <w:sz w:val="24"/>
        </w:rPr>
        <w:t>乙方应在送货前将送货驾驶员姓名、电话号码及车牌号等信息事先通知甲方，以便甲方做好收货准备</w:t>
      </w:r>
      <w:r>
        <w:rPr>
          <w:rFonts w:hint="default" w:ascii="宋体" w:hAnsi="宋体" w:cs="宋体"/>
          <w:color w:val="auto"/>
          <w:sz w:val="24"/>
          <w:szCs w:val="24"/>
          <w:lang w:eastAsia="zh-CN"/>
        </w:rPr>
        <w:t>，</w:t>
      </w:r>
      <w:r>
        <w:rPr>
          <w:rFonts w:hint="eastAsia" w:ascii="宋体" w:hAnsi="宋体" w:cs="宋体"/>
          <w:color w:val="auto"/>
          <w:sz w:val="24"/>
          <w:szCs w:val="24"/>
          <w:lang w:val="en-US" w:eastAsia="zh-Hans"/>
        </w:rPr>
        <w:t>同时乙方应保证其运输条件满足相关货物的一般运输</w:t>
      </w:r>
      <w:r>
        <w:rPr>
          <w:rFonts w:hint="default" w:ascii="宋体" w:hAnsi="宋体" w:cs="宋体"/>
          <w:color w:val="auto"/>
          <w:sz w:val="24"/>
          <w:szCs w:val="24"/>
          <w:lang w:eastAsia="zh-Hans"/>
        </w:rPr>
        <w:t>/</w:t>
      </w:r>
      <w:r>
        <w:rPr>
          <w:rFonts w:hint="eastAsia" w:ascii="宋体" w:hAnsi="宋体" w:cs="宋体"/>
          <w:color w:val="auto"/>
          <w:sz w:val="24"/>
          <w:szCs w:val="24"/>
          <w:lang w:val="en-US" w:eastAsia="zh-Hans"/>
        </w:rPr>
        <w:t>存储要求</w:t>
      </w:r>
      <w:r>
        <w:rPr>
          <w:rFonts w:hint="default" w:ascii="宋体" w:hAnsi="宋体" w:cs="宋体"/>
          <w:color w:val="auto"/>
          <w:sz w:val="24"/>
          <w:szCs w:val="24"/>
          <w:lang w:eastAsia="zh-Hans"/>
        </w:rPr>
        <w:t>。</w:t>
      </w:r>
      <w:r>
        <w:rPr>
          <w:rFonts w:hint="eastAsia" w:ascii="宋体" w:hAnsi="宋体" w:cs="宋体"/>
          <w:color w:val="auto"/>
          <w:sz w:val="24"/>
          <w:szCs w:val="24"/>
          <w:lang w:val="en-US" w:eastAsia="zh-CN"/>
        </w:rPr>
        <w:t>注：本合同费用已含运输费用及相关费用</w:t>
      </w:r>
      <w:r>
        <w:rPr>
          <w:rFonts w:hint="default" w:ascii="宋体" w:hAnsi="宋体" w:cs="宋体"/>
          <w:color w:val="auto"/>
          <w:sz w:val="24"/>
          <w:szCs w:val="24"/>
          <w:lang w:eastAsia="zh-CN"/>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（3）其他：【     】。</w:t>
      </w:r>
    </w:p>
    <w:p>
      <w:pPr>
        <w:spacing w:line="36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5</w:t>
      </w:r>
      <w:r>
        <w:rPr>
          <w:rFonts w:hint="eastAsia" w:ascii="宋体" w:hAnsi="宋体" w:cs="宋体"/>
          <w:color w:val="auto"/>
          <w:sz w:val="24"/>
        </w:rPr>
        <w:t>产品交付时，乙方必须遵守甲方（含甲方指定收货方，下同）规定的产品验收、入库等管理流程，否则甲方有权拒收产品。</w:t>
      </w:r>
    </w:p>
    <w:p>
      <w:pPr>
        <w:spacing w:line="36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6</w:t>
      </w:r>
      <w:r>
        <w:rPr>
          <w:rFonts w:hint="eastAsia" w:ascii="宋体" w:hAnsi="宋体" w:cs="宋体"/>
          <w:color w:val="auto"/>
          <w:sz w:val="24"/>
        </w:rPr>
        <w:t>乙方提交给甲方的产品必须是经乙方检验合格后的产品。产品交付时，乙方需随货提供：交货单据、内检检测报告以及</w:t>
      </w:r>
      <w:r>
        <w:rPr>
          <w:rFonts w:hint="eastAsia" w:ascii="宋体" w:hAnsi="宋体" w:cs="宋体"/>
          <w:color w:val="auto"/>
          <w:sz w:val="24"/>
          <w:lang w:val="en-US" w:eastAsia="zh-CN"/>
        </w:rPr>
        <w:t>关于</w:t>
      </w:r>
      <w:r>
        <w:rPr>
          <w:rFonts w:hint="eastAsia" w:ascii="宋体" w:hAnsi="宋体" w:cs="宋体"/>
          <w:color w:val="auto"/>
          <w:sz w:val="24"/>
        </w:rPr>
        <w:t>这类产品</w:t>
      </w:r>
      <w:r>
        <w:rPr>
          <w:rFonts w:hint="eastAsia" w:ascii="宋体" w:hAnsi="宋体" w:cs="宋体"/>
          <w:color w:val="auto"/>
          <w:sz w:val="24"/>
          <w:lang w:val="en-US" w:eastAsia="zh-CN"/>
        </w:rPr>
        <w:t>符合</w:t>
      </w:r>
      <w:r>
        <w:rPr>
          <w:rFonts w:hint="eastAsia" w:ascii="宋体" w:hAnsi="宋体" w:cs="宋体"/>
          <w:color w:val="auto"/>
          <w:sz w:val="24"/>
        </w:rPr>
        <w:t>特殊规定</w:t>
      </w:r>
      <w:r>
        <w:rPr>
          <w:rFonts w:hint="eastAsia" w:ascii="宋体" w:hAnsi="宋体" w:cs="宋体"/>
          <w:color w:val="auto"/>
          <w:sz w:val="24"/>
          <w:lang w:val="en-US" w:eastAsia="zh-CN"/>
        </w:rPr>
        <w:t>的证明文件</w:t>
      </w:r>
      <w:r>
        <w:rPr>
          <w:rFonts w:hint="eastAsia" w:ascii="宋体" w:hAnsi="宋体" w:cs="宋体"/>
          <w:color w:val="auto"/>
          <w:sz w:val="24"/>
        </w:rPr>
        <w:t>(如畜禽肉动物检疫合格证明</w:t>
      </w:r>
      <w:r>
        <w:rPr>
          <w:rFonts w:ascii="宋体" w:hAnsi="宋体" w:cs="宋体"/>
          <w:color w:val="auto"/>
          <w:sz w:val="24"/>
        </w:rPr>
        <w:t>)</w:t>
      </w:r>
      <w:r>
        <w:rPr>
          <w:rFonts w:hint="eastAsia" w:ascii="宋体" w:hAnsi="宋体" w:cs="宋体"/>
          <w:color w:val="auto"/>
          <w:sz w:val="24"/>
        </w:rPr>
        <w:t>等。其中，交货单据填写的货物信息须规范明确，并载明所交付货物的品名、品牌、规格型号、单位、数量等详细信息。如交付产品为进口产品的，还需随货提供：报关单、入境货物检验检疫证明、</w:t>
      </w:r>
      <w:r>
        <w:rPr>
          <w:rFonts w:hint="eastAsia" w:ascii="宋体" w:hAnsi="宋体" w:cs="宋体"/>
          <w:color w:val="auto"/>
          <w:sz w:val="24"/>
          <w:lang w:eastAsia="zh-Hans"/>
        </w:rPr>
        <w:t>消杀报告以及属地进口货品的监管码</w:t>
      </w:r>
      <w:r>
        <w:rPr>
          <w:rFonts w:hint="eastAsia" w:ascii="宋体" w:hAnsi="宋体" w:cs="宋体"/>
          <w:color w:val="auto"/>
          <w:sz w:val="24"/>
        </w:rPr>
        <w:t>等。乙方不能提供前述有效文件的，甲方有权拒收产品。</w:t>
      </w:r>
    </w:p>
    <w:p>
      <w:pPr>
        <w:spacing w:line="36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7</w:t>
      </w:r>
      <w:r>
        <w:rPr>
          <w:rFonts w:hint="eastAsia" w:ascii="宋体" w:hAnsi="宋体" w:cs="宋体"/>
          <w:color w:val="auto"/>
          <w:sz w:val="24"/>
        </w:rPr>
        <w:t>除生效采购订单另有约定或甲方另行书面同意外，乙方交付产品时，国产产品剩余保质期不得低于产品外包装上标明的保质期限的【2/3】，如为进口产品的，剩余保质期不得低于【1/2】。如交付产品属于国家规定的无保质期要求产品，需在</w:t>
      </w:r>
      <w:r>
        <w:rPr>
          <w:rFonts w:hint="eastAsia" w:ascii="宋体" w:hAnsi="宋体" w:cs="宋体"/>
          <w:color w:val="auto"/>
          <w:sz w:val="24"/>
          <w:lang w:val="en-US" w:eastAsia="zh-CN"/>
        </w:rPr>
        <w:t>批次采购订单中明确注明</w:t>
      </w:r>
      <w:r>
        <w:rPr>
          <w:rFonts w:hint="eastAsia" w:ascii="宋体" w:hAnsi="宋体" w:cs="宋体"/>
          <w:color w:val="auto"/>
          <w:sz w:val="24"/>
        </w:rPr>
        <w:t>。剩余保质期不符合前述约定的，甲方有权拒收产品并要求乙方赔偿由此给甲方造成的各项损失。</w:t>
      </w:r>
    </w:p>
    <w:p>
      <w:pPr>
        <w:spacing w:line="36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8</w:t>
      </w:r>
      <w:r>
        <w:rPr>
          <w:rFonts w:hint="eastAsia" w:ascii="宋体" w:hAnsi="宋体" w:cs="宋体"/>
          <w:color w:val="auto"/>
          <w:sz w:val="24"/>
        </w:rPr>
        <w:t>乙方确保，其交付的产品不存在侵犯他人知识产权及其他合法权益的情形，产品上未设定任何担保，不存在任何司法扣押、冻结、查封，且产品应付的一切税款和其他费用均已缴纳，产品不存在任何瑕疵，同时，乙方确保其具备销售本合同产品所需的有效行政许可等资质，否则，甲方有权解除合同，并要求乙方担违约责任及赔偿责任。</w:t>
      </w:r>
    </w:p>
    <w:p>
      <w:pPr>
        <w:pStyle w:val="2"/>
        <w:rPr>
          <w:color w:val="auto"/>
        </w:rPr>
      </w:pPr>
      <w:r>
        <w:rPr>
          <w:rFonts w:hint="eastAsia"/>
          <w:color w:val="auto"/>
        </w:rPr>
        <w:t>3.</w:t>
      </w:r>
      <w:r>
        <w:rPr>
          <w:rFonts w:hint="eastAsia"/>
          <w:color w:val="auto"/>
          <w:lang w:val="en-US" w:eastAsia="zh-CN"/>
        </w:rPr>
        <w:t>9</w:t>
      </w:r>
      <w:r>
        <w:rPr>
          <w:rFonts w:hint="eastAsia"/>
          <w:color w:val="auto"/>
        </w:rPr>
        <w:t>关于产品交付的其他约定：【     】。</w:t>
      </w:r>
    </w:p>
    <w:p>
      <w:pPr>
        <w:spacing w:line="360" w:lineRule="auto"/>
        <w:ind w:firstLine="480" w:firstLineChars="200"/>
        <w:rPr>
          <w:rFonts w:ascii="宋体" w:hAnsi="宋体" w:cs="宋体"/>
          <w:b/>
          <w:bCs/>
          <w:color w:val="auto"/>
          <w:sz w:val="24"/>
        </w:rPr>
      </w:pPr>
      <w:r>
        <w:rPr>
          <w:rFonts w:hint="eastAsia" w:ascii="宋体" w:hAnsi="宋体" w:cs="宋体"/>
          <w:b/>
          <w:bCs/>
          <w:color w:val="auto"/>
          <w:sz w:val="24"/>
        </w:rPr>
        <w:t>第四条  产品验收</w:t>
      </w:r>
    </w:p>
    <w:p>
      <w:pPr>
        <w:spacing w:line="360" w:lineRule="auto"/>
        <w:ind w:firstLine="480" w:firstLineChars="200"/>
        <w:rPr>
          <w:rFonts w:ascii="宋体" w:hAnsi="宋体" w:cs="宋体"/>
          <w:color w:val="auto"/>
          <w:sz w:val="24"/>
        </w:rPr>
      </w:pPr>
      <w:r>
        <w:rPr>
          <w:rFonts w:hint="eastAsia" w:ascii="宋体" w:hAnsi="宋体" w:cs="宋体"/>
          <w:color w:val="auto"/>
          <w:sz w:val="24"/>
        </w:rPr>
        <w:t>4.1外观验收：</w:t>
      </w:r>
    </w:p>
    <w:p>
      <w:pPr>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4.1.1货物交付后，甲方应在【</w:t>
      </w:r>
      <w:r>
        <w:rPr>
          <w:rFonts w:hint="eastAsia" w:ascii="宋体" w:hAnsi="宋体" w:cs="宋体"/>
          <w:color w:val="auto"/>
          <w:sz w:val="24"/>
          <w:lang w:val="en-US" w:eastAsia="zh-CN"/>
        </w:rPr>
        <w:t xml:space="preserve"> </w:t>
      </w:r>
      <w:r>
        <w:rPr>
          <w:rFonts w:hint="eastAsia" w:ascii="宋体" w:hAnsi="宋体" w:cs="宋体"/>
          <w:color w:val="auto"/>
          <w:sz w:val="24"/>
        </w:rPr>
        <w:t>】日内对货物的品类、外包装、数量、规格等进行外观验收，如有不符合本合同及采购订单约定的，甲方有权决定拒收全部或部分货物，乙方应根据甲方决定取回被拒收货物与/或及时重新交付合格货物并承担逾期交货的违约责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4.1.2为免疑义，双方特别约定，甲方委托提货的，第三方承运人不负责验收货物，承运人提货不视为乙方已交付合格货物，货物的相关验收工作由运输完成后甲方指定人员进行，若甲方对货物数量、规格、质量等存有异议的，应于运输完成后【3】日内提出。</w:t>
      </w:r>
    </w:p>
    <w:p>
      <w:pPr>
        <w:spacing w:line="360" w:lineRule="auto"/>
        <w:ind w:firstLine="480" w:firstLineChars="200"/>
        <w:rPr>
          <w:rFonts w:hint="default" w:ascii="宋体" w:hAnsi="宋体" w:cs="宋体"/>
          <w:color w:val="auto"/>
          <w:sz w:val="24"/>
          <w:lang w:val="en-US"/>
        </w:rPr>
      </w:pPr>
      <w:r>
        <w:rPr>
          <w:rFonts w:hint="eastAsia" w:ascii="宋体" w:hAnsi="宋体" w:cs="宋体"/>
          <w:color w:val="auto"/>
          <w:sz w:val="24"/>
          <w:lang w:val="en-US" w:eastAsia="zh-CN"/>
        </w:rPr>
        <w:t>4.1</w:t>
      </w:r>
      <w:r>
        <w:rPr>
          <w:rFonts w:hint="default" w:ascii="宋体" w:hAnsi="宋体" w:cs="宋体"/>
          <w:color w:val="auto"/>
          <w:sz w:val="24"/>
          <w:lang w:val="en-US" w:eastAsia="zh-CN"/>
        </w:rPr>
        <w:t>.</w:t>
      </w:r>
      <w:r>
        <w:rPr>
          <w:rFonts w:hint="eastAsia" w:ascii="宋体" w:hAnsi="宋体" w:cs="宋体"/>
          <w:color w:val="auto"/>
          <w:sz w:val="24"/>
          <w:lang w:val="en-US" w:eastAsia="zh-CN"/>
        </w:rPr>
        <w:t>3符合外观验收标准的货物，由甲方进行系统信息录入，如乙方对甲方录入信息存在异议的，应及时提出，否则视为认可甲方录入数据。</w:t>
      </w:r>
      <w:r>
        <w:rPr>
          <w:rFonts w:hint="eastAsia" w:ascii="宋体" w:hAnsi="宋体" w:eastAsia="宋体" w:cs="宋体"/>
          <w:color w:val="auto"/>
          <w:sz w:val="24"/>
          <w:lang w:val="en-US" w:eastAsia="zh-CN"/>
        </w:rPr>
        <w:t>甲乙双方一致认可，系统数据的录入</w:t>
      </w:r>
      <w:r>
        <w:rPr>
          <w:rFonts w:hint="eastAsia" w:ascii="宋体" w:hAnsi="宋体" w:cs="宋体"/>
          <w:color w:val="auto"/>
          <w:sz w:val="24"/>
          <w:lang w:val="en-US" w:eastAsia="zh-CN"/>
        </w:rPr>
        <w:t>，</w:t>
      </w:r>
      <w:r>
        <w:rPr>
          <w:rFonts w:hint="eastAsia" w:ascii="宋体" w:hAnsi="宋体" w:eastAsia="宋体" w:cs="宋体"/>
          <w:color w:val="auto"/>
          <w:sz w:val="24"/>
          <w:lang w:val="en-US" w:eastAsia="zh-CN"/>
        </w:rPr>
        <w:t>仅</w:t>
      </w:r>
      <w:r>
        <w:rPr>
          <w:rFonts w:hint="eastAsia" w:ascii="宋体" w:hAnsi="宋体" w:cs="宋体"/>
          <w:color w:val="auto"/>
          <w:sz w:val="24"/>
          <w:lang w:val="en-US" w:eastAsia="zh-CN"/>
        </w:rPr>
        <w:t>视为货物风险的转移，但不得被解释为</w:t>
      </w:r>
      <w:r>
        <w:rPr>
          <w:rFonts w:hint="eastAsia" w:ascii="宋体" w:hAnsi="宋体" w:eastAsia="宋体" w:cs="宋体"/>
          <w:color w:val="auto"/>
          <w:sz w:val="24"/>
          <w:lang w:val="en-US" w:eastAsia="zh-CN"/>
        </w:rPr>
        <w:t>甲方</w:t>
      </w:r>
      <w:r>
        <w:rPr>
          <w:rFonts w:hint="eastAsia" w:ascii="宋体" w:hAnsi="宋体" w:cs="宋体"/>
          <w:color w:val="auto"/>
          <w:sz w:val="24"/>
          <w:lang w:val="en-US" w:eastAsia="zh-CN"/>
        </w:rPr>
        <w:t>已对所签收货物的质量表示认可</w:t>
      </w:r>
      <w:r>
        <w:rPr>
          <w:rFonts w:hint="eastAsia" w:ascii="宋体" w:hAnsi="宋体" w:eastAsia="宋体" w:cs="宋体"/>
          <w:color w:val="auto"/>
          <w:sz w:val="24"/>
          <w:lang w:val="en-US" w:eastAsia="zh-CN"/>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4.2质量验收：</w:t>
      </w:r>
    </w:p>
    <w:p>
      <w:pPr>
        <w:spacing w:line="360" w:lineRule="auto"/>
        <w:ind w:firstLine="480" w:firstLineChars="200"/>
        <w:rPr>
          <w:rFonts w:ascii="宋体" w:hAnsi="宋体" w:cs="宋体"/>
          <w:color w:val="auto"/>
          <w:sz w:val="24"/>
        </w:rPr>
      </w:pPr>
      <w:r>
        <w:rPr>
          <w:rFonts w:hint="eastAsia" w:ascii="宋体" w:hAnsi="宋体" w:cs="宋体"/>
          <w:color w:val="auto"/>
          <w:sz w:val="24"/>
        </w:rPr>
        <w:t>4.2.1产品交付后，产品质保期内，乙方随时接受甲方的质量异议，若甲方发现质量问题的，应书面通知乙方并提出处理意见/建议；乙方收到甲方异议后应在【48】小时内予以书面回复，逾期未回复，视为乙方同意甲方处理意见/建议。产品保质期以产品外包装上标明的时间为准。</w:t>
      </w:r>
    </w:p>
    <w:p>
      <w:pPr>
        <w:spacing w:line="360" w:lineRule="auto"/>
        <w:ind w:firstLine="480" w:firstLineChars="200"/>
        <w:rPr>
          <w:rFonts w:ascii="宋体" w:hAnsi="宋体" w:cs="宋体"/>
          <w:color w:val="auto"/>
          <w:sz w:val="24"/>
        </w:rPr>
      </w:pPr>
      <w:r>
        <w:rPr>
          <w:rFonts w:hint="eastAsia" w:ascii="宋体" w:hAnsi="宋体" w:cs="宋体"/>
          <w:color w:val="auto"/>
          <w:sz w:val="24"/>
        </w:rPr>
        <w:t>4.2.2若双方对产品质量认定有异议且不能协商解决的，交由甲方指定的第三方检测机构检验确认，检测等相关费用由乙方先行垫付，最终由主张与检测结果不符的一方承担。</w:t>
      </w:r>
    </w:p>
    <w:p>
      <w:pPr>
        <w:spacing w:line="360" w:lineRule="auto"/>
        <w:ind w:firstLine="480" w:firstLineChars="200"/>
        <w:rPr>
          <w:rFonts w:ascii="宋体" w:hAnsi="宋体" w:cs="宋体"/>
          <w:color w:val="auto"/>
          <w:sz w:val="24"/>
        </w:rPr>
      </w:pPr>
      <w:r>
        <w:rPr>
          <w:rFonts w:hint="eastAsia" w:ascii="宋体" w:hAnsi="宋体" w:cs="宋体"/>
          <w:color w:val="auto"/>
          <w:sz w:val="24"/>
        </w:rPr>
        <w:t>4.2.3经双方确认或第三方检测机构确认，确属乙方产品存在质量问题的，甲方有权要求退、换产品，乙方应根据甲方决定取回被退货物与/或及时更换合格货物并承担逾期交货的违约责任。因退、换货产生的装卸、运输、仓储等各项费用均由乙方承担。</w:t>
      </w:r>
    </w:p>
    <w:p>
      <w:pPr>
        <w:spacing w:line="360" w:lineRule="auto"/>
        <w:ind w:firstLine="480" w:firstLineChars="200"/>
        <w:rPr>
          <w:rFonts w:ascii="宋体" w:hAnsi="宋体" w:cs="宋体"/>
          <w:color w:val="auto"/>
          <w:sz w:val="24"/>
        </w:rPr>
      </w:pPr>
      <w:r>
        <w:rPr>
          <w:rFonts w:hint="eastAsia" w:ascii="宋体" w:hAnsi="宋体" w:cs="宋体"/>
          <w:color w:val="auto"/>
          <w:sz w:val="24"/>
        </w:rPr>
        <w:t>4.2.4若确属乙方产品存在问题而导致甲方遭受经济损失、行政处罚、第三方索赔等损失、损害的，甲方有权向乙方追偿，乙方应承担赔偿责任，此责任不因甲方已接受产品或通过外观验收而免除。</w:t>
      </w:r>
    </w:p>
    <w:p>
      <w:pPr>
        <w:spacing w:line="360" w:lineRule="auto"/>
        <w:ind w:firstLine="480" w:firstLineChars="200"/>
        <w:rPr>
          <w:rFonts w:ascii="宋体" w:hAnsi="宋体" w:cs="宋体"/>
          <w:color w:val="auto"/>
          <w:sz w:val="24"/>
        </w:rPr>
      </w:pPr>
      <w:r>
        <w:rPr>
          <w:rFonts w:hint="eastAsia" w:ascii="宋体" w:hAnsi="宋体" w:cs="宋体"/>
          <w:color w:val="auto"/>
          <w:sz w:val="24"/>
        </w:rPr>
        <w:t>4.3质量问题处理方式</w:t>
      </w:r>
    </w:p>
    <w:p>
      <w:pPr>
        <w:spacing w:line="360" w:lineRule="auto"/>
        <w:ind w:firstLine="480" w:firstLineChars="200"/>
        <w:rPr>
          <w:rFonts w:ascii="宋体" w:hAnsi="宋体" w:cs="宋体"/>
          <w:color w:val="auto"/>
          <w:sz w:val="24"/>
        </w:rPr>
      </w:pPr>
      <w:r>
        <w:rPr>
          <w:rFonts w:ascii="宋体" w:hAnsi="宋体" w:cs="宋体"/>
          <w:color w:val="auto"/>
          <w:sz w:val="24"/>
        </w:rPr>
        <w:t>产品交付、验收及质保期内，如因乙方原因导致产品在数量、规格、质量</w:t>
      </w:r>
      <w:r>
        <w:rPr>
          <w:rFonts w:hint="eastAsia" w:ascii="宋体" w:hAnsi="宋体" w:cs="宋体"/>
          <w:color w:val="auto"/>
          <w:sz w:val="24"/>
        </w:rPr>
        <w:t>等</w:t>
      </w:r>
      <w:r>
        <w:rPr>
          <w:rFonts w:ascii="宋体" w:hAnsi="宋体" w:cs="宋体"/>
          <w:color w:val="auto"/>
          <w:sz w:val="24"/>
        </w:rPr>
        <w:t>方面不符合本合同</w:t>
      </w:r>
      <w:r>
        <w:rPr>
          <w:rFonts w:hint="eastAsia" w:ascii="宋体" w:hAnsi="宋体" w:cs="宋体"/>
          <w:color w:val="auto"/>
          <w:sz w:val="24"/>
        </w:rPr>
        <w:t>及订单</w:t>
      </w:r>
      <w:r>
        <w:rPr>
          <w:rFonts w:ascii="宋体" w:hAnsi="宋体" w:cs="宋体"/>
          <w:color w:val="auto"/>
          <w:sz w:val="24"/>
        </w:rPr>
        <w:t>的要求，甲方</w:t>
      </w:r>
      <w:r>
        <w:rPr>
          <w:rFonts w:hint="eastAsia" w:ascii="宋体" w:hAnsi="宋体" w:cs="宋体"/>
          <w:color w:val="auto"/>
          <w:sz w:val="24"/>
        </w:rPr>
        <w:t>有权</w:t>
      </w:r>
      <w:r>
        <w:rPr>
          <w:rFonts w:ascii="宋体" w:hAnsi="宋体" w:cs="宋体"/>
          <w:color w:val="auto"/>
          <w:sz w:val="24"/>
        </w:rPr>
        <w:t>选择：</w:t>
      </w:r>
    </w:p>
    <w:p>
      <w:pPr>
        <w:spacing w:line="360" w:lineRule="auto"/>
        <w:ind w:firstLine="480" w:firstLineChars="200"/>
        <w:rPr>
          <w:rFonts w:ascii="宋体" w:hAnsi="宋体" w:cs="宋体"/>
          <w:color w:val="auto"/>
          <w:sz w:val="24"/>
        </w:rPr>
      </w:pPr>
      <w:r>
        <w:rPr>
          <w:rFonts w:ascii="宋体" w:hAnsi="宋体" w:cs="宋体"/>
          <w:color w:val="auto"/>
          <w:sz w:val="24"/>
        </w:rPr>
        <w:t>（1）甲方有权解除当批次订单并不承担任何违约责任</w:t>
      </w:r>
      <w:r>
        <w:rPr>
          <w:rFonts w:hint="eastAsia" w:ascii="宋体" w:hAnsi="宋体" w:cs="宋体"/>
          <w:color w:val="auto"/>
          <w:sz w:val="24"/>
        </w:rPr>
        <w:t>，</w:t>
      </w:r>
      <w:r>
        <w:rPr>
          <w:rFonts w:ascii="宋体" w:hAnsi="宋体" w:cs="宋体"/>
          <w:color w:val="auto"/>
          <w:sz w:val="24"/>
        </w:rPr>
        <w:t>乙方</w:t>
      </w:r>
      <w:r>
        <w:rPr>
          <w:rFonts w:hint="eastAsia" w:ascii="宋体" w:hAnsi="宋体" w:cs="宋体"/>
          <w:color w:val="auto"/>
          <w:sz w:val="24"/>
        </w:rPr>
        <w:t>应</w:t>
      </w:r>
      <w:r>
        <w:rPr>
          <w:rFonts w:ascii="宋体" w:hAnsi="宋体" w:cs="宋体"/>
          <w:color w:val="auto"/>
          <w:sz w:val="24"/>
        </w:rPr>
        <w:t>退还</w:t>
      </w:r>
      <w:r>
        <w:rPr>
          <w:rFonts w:hint="eastAsia" w:ascii="宋体" w:hAnsi="宋体" w:cs="宋体"/>
          <w:color w:val="auto"/>
          <w:sz w:val="24"/>
          <w:lang w:val="en-US" w:eastAsia="zh-Hans"/>
        </w:rPr>
        <w:t>或</w:t>
      </w:r>
      <w:r>
        <w:rPr>
          <w:rFonts w:ascii="宋体" w:hAnsi="宋体" w:cs="宋体"/>
          <w:color w:val="auto"/>
          <w:sz w:val="24"/>
        </w:rPr>
        <w:t>甲方</w:t>
      </w:r>
      <w:r>
        <w:rPr>
          <w:rFonts w:hint="eastAsia" w:ascii="宋体" w:hAnsi="宋体" w:cs="宋体"/>
          <w:color w:val="auto"/>
          <w:sz w:val="24"/>
          <w:lang w:val="en-US" w:eastAsia="zh-Hans"/>
        </w:rPr>
        <w:t>有权拒绝支付相应</w:t>
      </w:r>
      <w:r>
        <w:rPr>
          <w:rFonts w:ascii="宋体" w:hAnsi="宋体" w:cs="宋体"/>
          <w:color w:val="auto"/>
          <w:sz w:val="24"/>
        </w:rPr>
        <w:t>货款</w:t>
      </w:r>
      <w:r>
        <w:rPr>
          <w:rFonts w:hint="default" w:ascii="宋体" w:hAnsi="宋体" w:cs="宋体"/>
          <w:color w:val="auto"/>
          <w:sz w:val="24"/>
          <w:szCs w:val="24"/>
          <w:lang w:eastAsia="zh-CN"/>
        </w:rPr>
        <w:t>。</w:t>
      </w:r>
      <w:r>
        <w:rPr>
          <w:rFonts w:hint="eastAsia" w:ascii="宋体" w:hAnsi="宋体" w:cs="宋体"/>
          <w:color w:val="auto"/>
          <w:sz w:val="24"/>
          <w:szCs w:val="24"/>
          <w:lang w:val="en-US" w:eastAsia="zh-Hans"/>
        </w:rPr>
        <w:t>乙方应在甲方指定期限内</w:t>
      </w:r>
      <w:r>
        <w:rPr>
          <w:rFonts w:hint="eastAsia" w:ascii="宋体" w:hAnsi="宋体" w:cs="宋体"/>
          <w:color w:val="auto"/>
          <w:sz w:val="24"/>
        </w:rPr>
        <w:t>自行取回其</w:t>
      </w:r>
      <w:r>
        <w:rPr>
          <w:rFonts w:ascii="宋体" w:hAnsi="宋体" w:cs="宋体"/>
          <w:color w:val="auto"/>
          <w:sz w:val="24"/>
        </w:rPr>
        <w:t>已交付但</w:t>
      </w:r>
      <w:r>
        <w:rPr>
          <w:rFonts w:hint="eastAsia" w:ascii="宋体" w:hAnsi="宋体" w:cs="宋体"/>
          <w:color w:val="auto"/>
          <w:sz w:val="24"/>
        </w:rPr>
        <w:t>甲方尚</w:t>
      </w:r>
      <w:r>
        <w:rPr>
          <w:rFonts w:ascii="宋体" w:hAnsi="宋体" w:cs="宋体"/>
          <w:color w:val="auto"/>
          <w:sz w:val="24"/>
        </w:rPr>
        <w:t>未使用</w:t>
      </w:r>
      <w:r>
        <w:rPr>
          <w:rFonts w:hint="eastAsia" w:ascii="宋体" w:hAnsi="宋体" w:cs="宋体"/>
          <w:color w:val="auto"/>
          <w:sz w:val="24"/>
        </w:rPr>
        <w:t>/销售</w:t>
      </w:r>
      <w:r>
        <w:rPr>
          <w:rFonts w:ascii="宋体" w:hAnsi="宋体" w:cs="宋体"/>
          <w:color w:val="auto"/>
          <w:sz w:val="24"/>
        </w:rPr>
        <w:t>的货物</w:t>
      </w:r>
      <w:r>
        <w:rPr>
          <w:rFonts w:hint="eastAsia" w:ascii="宋体" w:hAnsi="宋体" w:cs="宋体"/>
          <w:color w:val="auto"/>
          <w:sz w:val="24"/>
        </w:rPr>
        <w:t>（</w:t>
      </w:r>
      <w:r>
        <w:rPr>
          <w:rFonts w:ascii="宋体" w:hAnsi="宋体" w:cs="宋体"/>
          <w:color w:val="auto"/>
          <w:sz w:val="24"/>
        </w:rPr>
        <w:t>因质量问题而被有权机关处置的除外）</w:t>
      </w:r>
      <w:r>
        <w:rPr>
          <w:rFonts w:hint="default" w:ascii="宋体" w:hAnsi="宋体" w:cs="宋体"/>
          <w:color w:val="auto"/>
          <w:sz w:val="24"/>
          <w:szCs w:val="24"/>
          <w:lang w:eastAsia="zh-CN"/>
        </w:rPr>
        <w:t>，</w:t>
      </w:r>
      <w:r>
        <w:rPr>
          <w:rFonts w:hint="eastAsia" w:ascii="宋体" w:hAnsi="宋体" w:cs="宋体"/>
          <w:color w:val="auto"/>
          <w:sz w:val="24"/>
          <w:szCs w:val="24"/>
          <w:lang w:val="en-US" w:eastAsia="zh-Hans"/>
        </w:rPr>
        <w:t>逾期的应按</w:t>
      </w:r>
      <w:r>
        <w:rPr>
          <w:rFonts w:hint="default" w:ascii="宋体" w:hAnsi="宋体" w:cs="宋体"/>
          <w:color w:val="auto"/>
          <w:sz w:val="24"/>
          <w:szCs w:val="24"/>
          <w:lang w:eastAsia="zh-Hans"/>
        </w:rPr>
        <w:t>【 】</w:t>
      </w:r>
      <w:r>
        <w:rPr>
          <w:rFonts w:hint="eastAsia" w:ascii="宋体" w:hAnsi="宋体" w:cs="宋体"/>
          <w:color w:val="auto"/>
          <w:sz w:val="24"/>
          <w:szCs w:val="24"/>
          <w:lang w:val="en-US" w:eastAsia="zh-Hans"/>
        </w:rPr>
        <w:t>标准按日向甲方支付仓储费等费用</w:t>
      </w:r>
      <w:r>
        <w:rPr>
          <w:rFonts w:hint="default" w:ascii="宋体" w:hAnsi="宋体" w:cs="宋体"/>
          <w:color w:val="auto"/>
          <w:sz w:val="24"/>
          <w:szCs w:val="24"/>
          <w:lang w:eastAsia="zh-Hans"/>
        </w:rPr>
        <w:t>。</w:t>
      </w:r>
      <w:r>
        <w:rPr>
          <w:rFonts w:hint="eastAsia" w:ascii="宋体" w:hAnsi="宋体" w:cs="宋体"/>
          <w:color w:val="auto"/>
          <w:sz w:val="24"/>
          <w:szCs w:val="24"/>
          <w:lang w:val="en-US" w:eastAsia="zh-Hans"/>
        </w:rPr>
        <w:t>逾期达</w:t>
      </w:r>
      <w:r>
        <w:rPr>
          <w:rFonts w:hint="default" w:ascii="宋体" w:hAnsi="宋体" w:cs="宋体"/>
          <w:color w:val="auto"/>
          <w:sz w:val="24"/>
          <w:szCs w:val="24"/>
          <w:lang w:eastAsia="zh-Hans"/>
        </w:rPr>
        <w:t>【 】</w:t>
      </w:r>
      <w:r>
        <w:rPr>
          <w:rFonts w:hint="eastAsia" w:ascii="宋体" w:hAnsi="宋体" w:cs="宋体"/>
          <w:color w:val="auto"/>
          <w:sz w:val="24"/>
          <w:szCs w:val="24"/>
          <w:lang w:val="en-US" w:eastAsia="zh-Hans"/>
        </w:rPr>
        <w:t>日的</w:t>
      </w:r>
      <w:r>
        <w:rPr>
          <w:rFonts w:hint="default" w:ascii="宋体" w:hAnsi="宋体" w:cs="宋体"/>
          <w:color w:val="auto"/>
          <w:sz w:val="24"/>
          <w:szCs w:val="24"/>
          <w:lang w:eastAsia="zh-Hans"/>
        </w:rPr>
        <w:t>，</w:t>
      </w:r>
      <w:r>
        <w:rPr>
          <w:rFonts w:hint="eastAsia" w:ascii="宋体" w:hAnsi="宋体" w:cs="宋体"/>
          <w:color w:val="auto"/>
          <w:sz w:val="24"/>
          <w:szCs w:val="24"/>
          <w:lang w:val="en-US" w:eastAsia="zh-Hans"/>
        </w:rPr>
        <w:t>甲方有权自行处置相关货物并要求乙方按本合同第</w:t>
      </w:r>
      <w:r>
        <w:rPr>
          <w:rFonts w:hint="default" w:ascii="宋体" w:hAnsi="宋体" w:cs="宋体"/>
          <w:color w:val="auto"/>
          <w:sz w:val="24"/>
          <w:szCs w:val="24"/>
          <w:lang w:eastAsia="zh-Hans"/>
        </w:rPr>
        <w:t>6</w:t>
      </w:r>
      <w:r>
        <w:rPr>
          <w:rFonts w:hint="eastAsia" w:ascii="宋体" w:hAnsi="宋体" w:cs="宋体"/>
          <w:color w:val="auto"/>
          <w:sz w:val="24"/>
          <w:szCs w:val="24"/>
          <w:lang w:val="en-US" w:eastAsia="zh-Hans"/>
        </w:rPr>
        <w:t>.</w:t>
      </w:r>
      <w:r>
        <w:rPr>
          <w:rFonts w:hint="default" w:ascii="宋体" w:hAnsi="宋体" w:cs="宋体"/>
          <w:color w:val="auto"/>
          <w:sz w:val="24"/>
          <w:szCs w:val="24"/>
          <w:lang w:eastAsia="zh-Hans"/>
        </w:rPr>
        <w:t>1</w:t>
      </w:r>
      <w:r>
        <w:rPr>
          <w:rFonts w:hint="eastAsia" w:ascii="宋体" w:hAnsi="宋体" w:cs="宋体"/>
          <w:color w:val="auto"/>
          <w:sz w:val="24"/>
          <w:szCs w:val="24"/>
          <w:lang w:val="en-US" w:eastAsia="zh-Hans"/>
        </w:rPr>
        <w:t>条承担违约责任</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ascii="宋体" w:hAnsi="宋体" w:cs="宋体"/>
          <w:color w:val="auto"/>
          <w:sz w:val="24"/>
        </w:rPr>
        <w:t>（2）根据产品缺陷程度、损坏程度和损失金额，经双方</w:t>
      </w:r>
      <w:r>
        <w:rPr>
          <w:rFonts w:hint="eastAsia" w:ascii="宋体" w:hAnsi="宋体" w:cs="宋体"/>
          <w:color w:val="auto"/>
          <w:sz w:val="24"/>
        </w:rPr>
        <w:t>协商一致后，</w:t>
      </w:r>
      <w:r>
        <w:rPr>
          <w:rFonts w:ascii="宋体" w:hAnsi="宋体" w:cs="宋体"/>
          <w:color w:val="auto"/>
          <w:sz w:val="24"/>
        </w:rPr>
        <w:t>对产品进行折价</w:t>
      </w:r>
      <w:r>
        <w:rPr>
          <w:rFonts w:hint="eastAsia" w:ascii="宋体" w:hAnsi="宋体" w:cs="宋体"/>
          <w:color w:val="auto"/>
          <w:sz w:val="24"/>
        </w:rPr>
        <w:t>处理</w:t>
      </w:r>
      <w:r>
        <w:rPr>
          <w:rFonts w:ascii="宋体" w:hAnsi="宋体" w:cs="宋体"/>
          <w:color w:val="auto"/>
          <w:sz w:val="24"/>
        </w:rPr>
        <w:t>；</w:t>
      </w:r>
    </w:p>
    <w:p>
      <w:pPr>
        <w:spacing w:line="360" w:lineRule="auto"/>
        <w:ind w:firstLine="480" w:firstLineChars="200"/>
        <w:rPr>
          <w:rFonts w:ascii="宋体" w:hAnsi="宋体" w:cs="宋体"/>
          <w:color w:val="auto"/>
          <w:sz w:val="24"/>
        </w:rPr>
      </w:pPr>
      <w:r>
        <w:rPr>
          <w:rFonts w:ascii="宋体" w:hAnsi="宋体" w:cs="宋体"/>
          <w:color w:val="auto"/>
          <w:sz w:val="24"/>
        </w:rPr>
        <w:t>（3）甲方有权要求乙方退还/</w:t>
      </w:r>
      <w:r>
        <w:rPr>
          <w:rFonts w:hint="eastAsia" w:ascii="宋体" w:hAnsi="宋体" w:cs="宋体"/>
          <w:color w:val="auto"/>
          <w:sz w:val="24"/>
          <w:lang w:val="en-US" w:eastAsia="zh-Hans"/>
        </w:rPr>
        <w:t>拒绝支付</w:t>
      </w:r>
      <w:r>
        <w:rPr>
          <w:rFonts w:hint="eastAsia" w:ascii="宋体" w:hAnsi="宋体" w:cs="宋体"/>
          <w:color w:val="auto"/>
          <w:sz w:val="24"/>
        </w:rPr>
        <w:t>不合格品</w:t>
      </w:r>
      <w:r>
        <w:rPr>
          <w:rFonts w:ascii="宋体" w:hAnsi="宋体" w:cs="宋体"/>
          <w:color w:val="auto"/>
          <w:sz w:val="24"/>
        </w:rPr>
        <w:t>相应</w:t>
      </w:r>
      <w:r>
        <w:rPr>
          <w:rFonts w:hint="eastAsia" w:ascii="宋体" w:hAnsi="宋体" w:cs="宋体"/>
          <w:color w:val="auto"/>
          <w:sz w:val="24"/>
        </w:rPr>
        <w:t>的</w:t>
      </w:r>
      <w:r>
        <w:rPr>
          <w:rFonts w:ascii="宋体" w:hAnsi="宋体" w:cs="宋体"/>
          <w:color w:val="auto"/>
          <w:sz w:val="24"/>
        </w:rPr>
        <w:t>货款</w:t>
      </w:r>
      <w:r>
        <w:rPr>
          <w:rFonts w:hint="eastAsia" w:ascii="宋体" w:hAnsi="宋体" w:cs="宋体"/>
          <w:color w:val="auto"/>
          <w:sz w:val="24"/>
        </w:rPr>
        <w:t>，</w:t>
      </w:r>
      <w:r>
        <w:rPr>
          <w:rFonts w:ascii="宋体" w:hAnsi="宋体" w:cs="宋体"/>
          <w:color w:val="auto"/>
          <w:sz w:val="24"/>
        </w:rPr>
        <w:t>或</w:t>
      </w:r>
      <w:r>
        <w:rPr>
          <w:rFonts w:hint="eastAsia" w:ascii="宋体" w:hAnsi="宋体" w:cs="宋体"/>
          <w:color w:val="auto"/>
          <w:sz w:val="24"/>
        </w:rPr>
        <w:t>以同等数量的合格</w:t>
      </w:r>
      <w:r>
        <w:rPr>
          <w:rFonts w:ascii="宋体" w:hAnsi="宋体" w:cs="宋体"/>
          <w:color w:val="auto"/>
          <w:sz w:val="24"/>
        </w:rPr>
        <w:t>产品</w:t>
      </w:r>
      <w:r>
        <w:rPr>
          <w:rFonts w:hint="eastAsia" w:ascii="宋体" w:hAnsi="宋体" w:cs="宋体"/>
          <w:color w:val="auto"/>
          <w:sz w:val="24"/>
        </w:rPr>
        <w:t>于指定时间内</w:t>
      </w:r>
      <w:r>
        <w:rPr>
          <w:rFonts w:ascii="宋体" w:hAnsi="宋体" w:cs="宋体"/>
          <w:color w:val="auto"/>
          <w:sz w:val="24"/>
        </w:rPr>
        <w:t>进行更换、对缺少的产品</w:t>
      </w:r>
      <w:r>
        <w:rPr>
          <w:rFonts w:hint="eastAsia" w:ascii="宋体" w:hAnsi="宋体" w:cs="宋体"/>
          <w:color w:val="auto"/>
          <w:sz w:val="24"/>
        </w:rPr>
        <w:t>于指定时间内</w:t>
      </w:r>
      <w:r>
        <w:rPr>
          <w:rFonts w:ascii="宋体" w:hAnsi="宋体" w:cs="宋体"/>
          <w:color w:val="auto"/>
          <w:sz w:val="24"/>
        </w:rPr>
        <w:t>进行补充，由此发生的</w:t>
      </w:r>
      <w:r>
        <w:rPr>
          <w:rFonts w:hint="eastAsia" w:ascii="宋体" w:hAnsi="宋体" w:cs="宋体"/>
          <w:color w:val="auto"/>
          <w:sz w:val="24"/>
        </w:rPr>
        <w:t>运装卸、运输、仓储等各项费用均由乙方承担</w:t>
      </w:r>
      <w:r>
        <w:rPr>
          <w:rFonts w:hint="default" w:ascii="宋体" w:hAnsi="宋体" w:cs="宋体"/>
          <w:color w:val="auto"/>
          <w:sz w:val="24"/>
          <w:szCs w:val="24"/>
          <w:lang w:eastAsia="zh-CN"/>
        </w:rPr>
        <w:t>，</w:t>
      </w:r>
      <w:r>
        <w:rPr>
          <w:rFonts w:hint="eastAsia" w:ascii="宋体" w:hAnsi="宋体" w:cs="宋体"/>
          <w:color w:val="auto"/>
          <w:sz w:val="24"/>
          <w:szCs w:val="24"/>
          <w:lang w:val="en-US" w:eastAsia="zh-Hans"/>
        </w:rPr>
        <w:t>乙方应按本合同第</w:t>
      </w:r>
      <w:r>
        <w:rPr>
          <w:rFonts w:hint="default" w:ascii="宋体" w:hAnsi="宋体" w:cs="宋体"/>
          <w:color w:val="auto"/>
          <w:sz w:val="24"/>
          <w:szCs w:val="24"/>
          <w:lang w:eastAsia="zh-Hans"/>
        </w:rPr>
        <w:t>6</w:t>
      </w:r>
      <w:r>
        <w:rPr>
          <w:rFonts w:hint="eastAsia" w:ascii="宋体" w:hAnsi="宋体" w:cs="宋体"/>
          <w:color w:val="auto"/>
          <w:sz w:val="24"/>
          <w:szCs w:val="24"/>
          <w:lang w:val="en-US" w:eastAsia="zh-Hans"/>
        </w:rPr>
        <w:t>.</w:t>
      </w:r>
      <w:r>
        <w:rPr>
          <w:rFonts w:hint="default" w:ascii="宋体" w:hAnsi="宋体" w:cs="宋体"/>
          <w:color w:val="auto"/>
          <w:sz w:val="24"/>
          <w:szCs w:val="24"/>
          <w:lang w:eastAsia="zh-Hans"/>
        </w:rPr>
        <w:t>3</w:t>
      </w:r>
      <w:r>
        <w:rPr>
          <w:rFonts w:hint="eastAsia" w:ascii="宋体" w:hAnsi="宋体" w:cs="宋体"/>
          <w:color w:val="auto"/>
          <w:sz w:val="24"/>
          <w:szCs w:val="24"/>
          <w:lang w:val="en-US" w:eastAsia="zh-Hans"/>
        </w:rPr>
        <w:t>条承担逾期交货违约责任</w:t>
      </w:r>
      <w:r>
        <w:rPr>
          <w:rFonts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b/>
          <w:bCs/>
          <w:color w:val="auto"/>
          <w:sz w:val="24"/>
        </w:rPr>
        <w:t>第五条  结算及支付</w:t>
      </w:r>
    </w:p>
    <w:p>
      <w:pPr>
        <w:spacing w:line="360" w:lineRule="auto"/>
        <w:ind w:firstLine="480"/>
        <w:jc w:val="left"/>
        <w:rPr>
          <w:rStyle w:val="15"/>
          <w:rFonts w:hint="eastAsia" w:ascii="宋体" w:hAnsi="宋体" w:cs="宋体"/>
          <w:b w:val="0"/>
          <w:bCs w:val="0"/>
          <w:color w:val="auto"/>
          <w:sz w:val="24"/>
        </w:rPr>
      </w:pPr>
      <w:r>
        <w:rPr>
          <w:rStyle w:val="15"/>
          <w:rFonts w:hint="eastAsia" w:ascii="宋体" w:hAnsi="宋体" w:cs="宋体"/>
          <w:b w:val="0"/>
          <w:bCs w:val="0"/>
          <w:color w:val="auto"/>
          <w:sz w:val="24"/>
        </w:rPr>
        <w:t>5.1为确保乙方按照合同约定的内容、标准和时间履行义务，乙方应于本协议签订后【 】日内向甲方一次性交付【 】元作为履约保证金，本协议自甲方收到保证金之日起生效。在本合同履行完毕，甲方确认乙方提供的货物不存在质量问题，且双方无其他争议的情况下，甲方将保证金一次性无息返还乙方。如</w:t>
      </w:r>
      <w:r>
        <w:rPr>
          <w:rStyle w:val="15"/>
          <w:rFonts w:hint="eastAsia" w:ascii="宋体" w:hAnsi="宋体" w:cs="宋体"/>
          <w:b w:val="0"/>
          <w:bCs w:val="0"/>
          <w:color w:val="auto"/>
          <w:sz w:val="24"/>
          <w:lang w:val="en-US" w:eastAsia="zh-CN"/>
        </w:rPr>
        <w:t>发生</w:t>
      </w:r>
      <w:r>
        <w:rPr>
          <w:rStyle w:val="15"/>
          <w:rFonts w:hint="eastAsia" w:ascii="宋体" w:hAnsi="宋体" w:cs="宋体"/>
          <w:b w:val="0"/>
          <w:bCs w:val="0"/>
          <w:color w:val="auto"/>
          <w:sz w:val="24"/>
        </w:rPr>
        <w:t>乙方应向甲方支付违约金、赔偿金等情形的，甲方有权从保证金和应付乙方货款中进行扣除。</w:t>
      </w:r>
    </w:p>
    <w:p>
      <w:pPr>
        <w:spacing w:line="360" w:lineRule="auto"/>
        <w:ind w:firstLine="480"/>
        <w:jc w:val="left"/>
        <w:rPr>
          <w:rStyle w:val="15"/>
          <w:rFonts w:ascii="宋体" w:hAnsi="宋体" w:cs="宋体"/>
          <w:b w:val="0"/>
          <w:bCs w:val="0"/>
          <w:color w:val="auto"/>
          <w:sz w:val="24"/>
        </w:rPr>
      </w:pPr>
      <w:r>
        <w:rPr>
          <w:rStyle w:val="15"/>
          <w:rFonts w:hint="eastAsia" w:ascii="宋体" w:hAnsi="宋体" w:cs="宋体"/>
          <w:b w:val="0"/>
          <w:bCs w:val="0"/>
          <w:color w:val="auto"/>
          <w:sz w:val="24"/>
        </w:rPr>
        <w:t>5.2</w:t>
      </w:r>
      <w:r>
        <w:rPr>
          <w:rStyle w:val="15"/>
          <w:rFonts w:hint="eastAsia" w:ascii="宋体" w:hAnsi="宋体" w:cs="宋体"/>
          <w:b w:val="0"/>
          <w:bCs w:val="0"/>
          <w:color w:val="auto"/>
          <w:sz w:val="24"/>
          <w:lang w:val="en-US" w:eastAsia="zh-CN"/>
        </w:rPr>
        <w:t>本合同项下订单通过系统进行对账、结算</w:t>
      </w:r>
      <w:r>
        <w:rPr>
          <w:rStyle w:val="15"/>
          <w:rFonts w:hint="eastAsia" w:ascii="宋体" w:hAnsi="宋体" w:cs="宋体"/>
          <w:b w:val="0"/>
          <w:bCs w:val="0"/>
          <w:color w:val="auto"/>
          <w:sz w:val="24"/>
        </w:rPr>
        <w:t>，本合同</w:t>
      </w:r>
      <w:r>
        <w:rPr>
          <w:rStyle w:val="15"/>
          <w:rFonts w:hint="default" w:ascii="宋体" w:hAnsi="宋体" w:cs="宋体"/>
          <w:b w:val="0"/>
          <w:bCs w:val="0"/>
          <w:color w:val="auto"/>
          <w:sz w:val="24"/>
          <w:lang w:val="en-US"/>
        </w:rPr>
        <w:t>付款方式</w:t>
      </w:r>
      <w:r>
        <w:rPr>
          <w:rStyle w:val="15"/>
          <w:rFonts w:hint="eastAsia" w:ascii="宋体" w:hAnsi="宋体" w:cs="宋体"/>
          <w:b w:val="0"/>
          <w:bCs w:val="0"/>
          <w:color w:val="auto"/>
          <w:sz w:val="24"/>
        </w:rPr>
        <w:t>为以下第</w:t>
      </w:r>
      <w:r>
        <w:rPr>
          <w:rFonts w:hint="eastAsia" w:ascii="宋体" w:hAnsi="宋体" w:cs="宋体"/>
          <w:color w:val="auto"/>
          <w:sz w:val="24"/>
        </w:rPr>
        <w:t>【   】</w:t>
      </w:r>
      <w:r>
        <w:rPr>
          <w:rStyle w:val="15"/>
          <w:rFonts w:hint="eastAsia" w:ascii="宋体" w:hAnsi="宋体" w:cs="宋体"/>
          <w:b w:val="0"/>
          <w:bCs w:val="0"/>
          <w:color w:val="auto"/>
          <w:sz w:val="24"/>
        </w:rPr>
        <w:t>种（选填）：</w:t>
      </w:r>
    </w:p>
    <w:p>
      <w:pPr>
        <w:spacing w:line="360" w:lineRule="auto"/>
        <w:ind w:firstLine="480"/>
        <w:jc w:val="left"/>
        <w:rPr>
          <w:rStyle w:val="15"/>
          <w:rFonts w:ascii="宋体" w:hAnsi="宋体" w:cs="宋体"/>
          <w:b w:val="0"/>
          <w:bCs w:val="0"/>
          <w:color w:val="auto"/>
          <w:sz w:val="24"/>
        </w:rPr>
      </w:pPr>
      <w:r>
        <w:rPr>
          <w:rStyle w:val="15"/>
          <w:rFonts w:hint="eastAsia" w:ascii="宋体" w:hAnsi="宋体" w:cs="宋体"/>
          <w:b w:val="0"/>
          <w:bCs w:val="0"/>
          <w:color w:val="auto"/>
          <w:sz w:val="24"/>
        </w:rPr>
        <w:t>（</w:t>
      </w:r>
      <w:r>
        <w:rPr>
          <w:rStyle w:val="15"/>
          <w:rFonts w:hint="eastAsia" w:ascii="宋体" w:hAnsi="宋体" w:cs="宋体"/>
          <w:b w:val="0"/>
          <w:bCs w:val="0"/>
          <w:color w:val="auto"/>
          <w:sz w:val="24"/>
          <w:lang w:val="en-US" w:eastAsia="zh-CN"/>
        </w:rPr>
        <w:t>1</w:t>
      </w:r>
      <w:r>
        <w:rPr>
          <w:rStyle w:val="15"/>
          <w:rFonts w:hint="eastAsia" w:ascii="宋体" w:hAnsi="宋体" w:cs="宋体"/>
          <w:b w:val="0"/>
          <w:bCs w:val="0"/>
          <w:color w:val="auto"/>
          <w:sz w:val="24"/>
        </w:rPr>
        <w:t>）款到发货/交货</w:t>
      </w:r>
    </w:p>
    <w:p>
      <w:pPr>
        <w:spacing w:line="360" w:lineRule="auto"/>
        <w:ind w:firstLine="480"/>
        <w:jc w:val="left"/>
        <w:rPr>
          <w:rStyle w:val="15"/>
          <w:rFonts w:ascii="宋体" w:hAnsi="宋体" w:cs="宋体"/>
          <w:b w:val="0"/>
          <w:bCs w:val="0"/>
          <w:color w:val="auto"/>
          <w:sz w:val="24"/>
        </w:rPr>
      </w:pPr>
      <w:r>
        <w:rPr>
          <w:rStyle w:val="15"/>
          <w:rFonts w:hint="eastAsia" w:ascii="宋体" w:hAnsi="宋体" w:cs="宋体"/>
          <w:b w:val="0"/>
          <w:bCs w:val="0"/>
          <w:color w:val="auto"/>
          <w:sz w:val="24"/>
        </w:rPr>
        <w:t>采购订单生效后，甲方应及时支付相应货款并确保于约定交货时间前完成支付，</w:t>
      </w:r>
      <w:r>
        <w:rPr>
          <w:rStyle w:val="15"/>
          <w:rFonts w:hint="eastAsia" w:ascii="宋体" w:hAnsi="宋体" w:cs="宋体"/>
          <w:b w:val="0"/>
          <w:bCs w:val="0"/>
          <w:color w:val="auto"/>
          <w:sz w:val="24"/>
          <w:lang w:val="en-US" w:eastAsia="zh-CN"/>
        </w:rPr>
        <w:t>同时</w:t>
      </w:r>
      <w:r>
        <w:rPr>
          <w:rStyle w:val="15"/>
          <w:rFonts w:hint="eastAsia" w:ascii="宋体" w:hAnsi="宋体" w:cs="宋体"/>
          <w:b w:val="0"/>
          <w:bCs w:val="0"/>
          <w:color w:val="auto"/>
          <w:sz w:val="24"/>
        </w:rPr>
        <w:t>乙方应于甲方支付货款后</w:t>
      </w:r>
      <w:r>
        <w:rPr>
          <w:rFonts w:hint="eastAsia" w:ascii="宋体" w:hAnsi="宋体" w:cs="宋体"/>
          <w:color w:val="auto"/>
          <w:sz w:val="24"/>
        </w:rPr>
        <w:t>【</w:t>
      </w:r>
      <w:r>
        <w:rPr>
          <w:rFonts w:hint="eastAsia" w:ascii="宋体" w:hAnsi="宋体" w:cs="宋体"/>
          <w:color w:val="auto"/>
          <w:sz w:val="24"/>
          <w:lang w:val="en-US" w:eastAsia="zh-CN"/>
        </w:rPr>
        <w:t xml:space="preserve"> </w:t>
      </w:r>
      <w:r>
        <w:rPr>
          <w:rFonts w:hint="eastAsia" w:ascii="宋体" w:hAnsi="宋体" w:cs="宋体"/>
          <w:color w:val="auto"/>
          <w:sz w:val="24"/>
        </w:rPr>
        <w:t>】</w:t>
      </w:r>
      <w:r>
        <w:rPr>
          <w:rStyle w:val="15"/>
          <w:rFonts w:hint="eastAsia" w:ascii="宋体" w:hAnsi="宋体" w:cs="宋体"/>
          <w:b w:val="0"/>
          <w:bCs w:val="0"/>
          <w:color w:val="auto"/>
          <w:sz w:val="24"/>
        </w:rPr>
        <w:t>日内</w:t>
      </w:r>
      <w:r>
        <w:rPr>
          <w:rStyle w:val="15"/>
          <w:rFonts w:hint="eastAsia" w:ascii="宋体" w:hAnsi="宋体" w:cs="宋体"/>
          <w:b w:val="0"/>
          <w:bCs w:val="0"/>
          <w:color w:val="auto"/>
          <w:sz w:val="24"/>
          <w:lang w:val="en-US" w:eastAsia="zh-CN"/>
        </w:rPr>
        <w:t>在系统上传</w:t>
      </w:r>
      <w:r>
        <w:rPr>
          <w:rStyle w:val="15"/>
          <w:rFonts w:hint="eastAsia" w:ascii="宋体" w:hAnsi="宋体" w:cs="宋体"/>
          <w:b w:val="0"/>
          <w:bCs w:val="0"/>
          <w:color w:val="auto"/>
          <w:sz w:val="24"/>
        </w:rPr>
        <w:t>当批次货款等额、有效的增值税发票。</w:t>
      </w:r>
    </w:p>
    <w:p>
      <w:pPr>
        <w:spacing w:line="360" w:lineRule="auto"/>
        <w:ind w:firstLine="480"/>
        <w:jc w:val="left"/>
        <w:rPr>
          <w:rStyle w:val="15"/>
          <w:rFonts w:ascii="宋体" w:hAnsi="宋体" w:cs="宋体"/>
          <w:b w:val="0"/>
          <w:bCs w:val="0"/>
          <w:color w:val="auto"/>
          <w:sz w:val="24"/>
        </w:rPr>
      </w:pPr>
      <w:r>
        <w:rPr>
          <w:rStyle w:val="15"/>
          <w:rFonts w:hint="eastAsia" w:ascii="宋体" w:hAnsi="宋体" w:cs="宋体"/>
          <w:b w:val="0"/>
          <w:bCs w:val="0"/>
          <w:color w:val="auto"/>
          <w:sz w:val="24"/>
        </w:rPr>
        <w:t>（</w:t>
      </w:r>
      <w:r>
        <w:rPr>
          <w:rStyle w:val="15"/>
          <w:rFonts w:hint="eastAsia" w:ascii="宋体" w:hAnsi="宋体" w:cs="宋体"/>
          <w:b w:val="0"/>
          <w:bCs w:val="0"/>
          <w:color w:val="auto"/>
          <w:sz w:val="24"/>
          <w:lang w:val="en-US" w:eastAsia="zh-CN"/>
        </w:rPr>
        <w:t>2</w:t>
      </w:r>
      <w:r>
        <w:rPr>
          <w:rStyle w:val="15"/>
          <w:rFonts w:hint="eastAsia" w:ascii="宋体" w:hAnsi="宋体" w:cs="宋体"/>
          <w:b w:val="0"/>
          <w:bCs w:val="0"/>
          <w:color w:val="auto"/>
          <w:sz w:val="24"/>
        </w:rPr>
        <w:t>）预付款制</w:t>
      </w:r>
    </w:p>
    <w:p>
      <w:pPr>
        <w:spacing w:line="360" w:lineRule="auto"/>
        <w:ind w:firstLine="480"/>
        <w:jc w:val="left"/>
        <w:rPr>
          <w:rStyle w:val="15"/>
          <w:rFonts w:ascii="宋体" w:hAnsi="宋体" w:cs="宋体"/>
          <w:b w:val="0"/>
          <w:bCs w:val="0"/>
          <w:color w:val="auto"/>
          <w:sz w:val="24"/>
        </w:rPr>
      </w:pPr>
      <w:r>
        <w:rPr>
          <w:rStyle w:val="15"/>
          <w:rFonts w:hint="eastAsia" w:ascii="宋体" w:hAnsi="宋体" w:cs="宋体"/>
          <w:b w:val="0"/>
          <w:bCs w:val="0"/>
          <w:color w:val="auto"/>
          <w:sz w:val="24"/>
        </w:rPr>
        <w:t>采购订单生效后，甲方于</w:t>
      </w:r>
      <w:r>
        <w:rPr>
          <w:rFonts w:hint="eastAsia" w:ascii="宋体" w:hAnsi="宋体" w:cs="宋体"/>
          <w:color w:val="auto"/>
          <w:sz w:val="24"/>
        </w:rPr>
        <w:t>【</w:t>
      </w:r>
      <w:r>
        <w:rPr>
          <w:rFonts w:hint="eastAsia" w:ascii="宋体" w:hAnsi="宋体" w:cs="宋体"/>
          <w:color w:val="auto"/>
          <w:sz w:val="24"/>
          <w:lang w:val="en-US" w:eastAsia="zh-CN"/>
        </w:rPr>
        <w:t xml:space="preserve"> </w:t>
      </w:r>
      <w:r>
        <w:rPr>
          <w:rFonts w:hint="eastAsia" w:ascii="宋体" w:hAnsi="宋体" w:cs="宋体"/>
          <w:color w:val="auto"/>
          <w:sz w:val="24"/>
        </w:rPr>
        <w:t>】</w:t>
      </w:r>
      <w:r>
        <w:rPr>
          <w:rStyle w:val="15"/>
          <w:rFonts w:hint="eastAsia" w:ascii="宋体" w:hAnsi="宋体" w:cs="宋体"/>
          <w:b w:val="0"/>
          <w:bCs w:val="0"/>
          <w:color w:val="auto"/>
          <w:sz w:val="24"/>
        </w:rPr>
        <w:t>个工作日内支付订单总额的</w:t>
      </w:r>
      <w:r>
        <w:rPr>
          <w:rFonts w:hint="eastAsia" w:ascii="宋体" w:hAnsi="宋体" w:cs="宋体"/>
          <w:color w:val="auto"/>
          <w:sz w:val="24"/>
        </w:rPr>
        <w:t>【  】</w:t>
      </w:r>
      <w:r>
        <w:rPr>
          <w:rStyle w:val="15"/>
          <w:rFonts w:hint="eastAsia" w:ascii="宋体" w:hAnsi="宋体" w:cs="宋体"/>
          <w:b w:val="0"/>
          <w:bCs w:val="0"/>
          <w:color w:val="auto"/>
          <w:sz w:val="24"/>
        </w:rPr>
        <w:t>%作为预付款，</w:t>
      </w:r>
      <w:r>
        <w:rPr>
          <w:rStyle w:val="15"/>
          <w:rFonts w:hint="eastAsia" w:ascii="宋体" w:hAnsi="宋体" w:cs="宋体"/>
          <w:b w:val="0"/>
          <w:bCs w:val="0"/>
          <w:color w:val="auto"/>
          <w:sz w:val="24"/>
          <w:lang w:val="en-US" w:eastAsia="zh-CN"/>
        </w:rPr>
        <w:t>货物交付完成，乙方在系统向甲方发起对账申请，甲方在线确认并形成系统对账单后，由乙方上传付款金额等额、有效的增值税发票并发起付款申请，甲方在收到系统付款申请后的【 】个工作日内付款</w:t>
      </w:r>
      <w:r>
        <w:rPr>
          <w:rStyle w:val="15"/>
          <w:rFonts w:hint="eastAsia" w:ascii="宋体" w:hAnsi="宋体" w:cs="宋体"/>
          <w:b w:val="0"/>
          <w:bCs w:val="0"/>
          <w:color w:val="auto"/>
          <w:sz w:val="24"/>
        </w:rPr>
        <w:t>。</w:t>
      </w:r>
    </w:p>
    <w:p>
      <w:pPr>
        <w:spacing w:line="360" w:lineRule="auto"/>
        <w:ind w:firstLine="480"/>
        <w:jc w:val="left"/>
        <w:rPr>
          <w:rStyle w:val="15"/>
          <w:rFonts w:ascii="宋体" w:hAnsi="宋体" w:cs="宋体"/>
          <w:b w:val="0"/>
          <w:bCs w:val="0"/>
          <w:color w:val="auto"/>
          <w:sz w:val="24"/>
        </w:rPr>
      </w:pPr>
      <w:r>
        <w:rPr>
          <w:rStyle w:val="15"/>
          <w:rFonts w:hint="eastAsia" w:ascii="宋体" w:hAnsi="宋体" w:cs="宋体"/>
          <w:b w:val="0"/>
          <w:bCs w:val="0"/>
          <w:color w:val="auto"/>
          <w:sz w:val="24"/>
        </w:rPr>
        <w:t>（</w:t>
      </w:r>
      <w:r>
        <w:rPr>
          <w:rStyle w:val="15"/>
          <w:rFonts w:hint="eastAsia" w:ascii="宋体" w:hAnsi="宋体" w:cs="宋体"/>
          <w:b w:val="0"/>
          <w:bCs w:val="0"/>
          <w:color w:val="auto"/>
          <w:sz w:val="24"/>
          <w:lang w:val="en-US" w:eastAsia="zh-CN"/>
        </w:rPr>
        <w:t>3</w:t>
      </w:r>
      <w:r>
        <w:rPr>
          <w:rStyle w:val="15"/>
          <w:rFonts w:hint="eastAsia" w:ascii="宋体" w:hAnsi="宋体" w:cs="宋体"/>
          <w:b w:val="0"/>
          <w:bCs w:val="0"/>
          <w:color w:val="auto"/>
          <w:sz w:val="24"/>
        </w:rPr>
        <w:t>）定期结算</w:t>
      </w:r>
    </w:p>
    <w:p>
      <w:pPr>
        <w:spacing w:line="360" w:lineRule="auto"/>
        <w:ind w:firstLine="480"/>
        <w:jc w:val="left"/>
        <w:rPr>
          <w:rStyle w:val="15"/>
          <w:rFonts w:hint="eastAsia" w:ascii="宋体" w:hAnsi="宋体" w:cs="宋体"/>
          <w:b w:val="0"/>
          <w:bCs w:val="0"/>
          <w:color w:val="auto"/>
          <w:sz w:val="24"/>
        </w:rPr>
      </w:pPr>
      <w:r>
        <w:rPr>
          <w:rStyle w:val="15"/>
          <w:rFonts w:hint="eastAsia" w:ascii="宋体" w:hAnsi="宋体" w:cs="宋体"/>
          <w:b w:val="0"/>
          <w:bCs w:val="0"/>
          <w:color w:val="auto"/>
          <w:sz w:val="24"/>
        </w:rPr>
        <w:t>甲乙双方以</w:t>
      </w:r>
      <w:r>
        <w:rPr>
          <w:rStyle w:val="15"/>
          <w:rFonts w:hint="eastAsia" w:ascii="宋体" w:hAnsi="宋体" w:cs="宋体"/>
          <w:b w:val="0"/>
          <w:bCs w:val="0"/>
          <w:color w:val="auto"/>
          <w:sz w:val="24"/>
          <w:lang w:eastAsia="zh-CN"/>
        </w:rPr>
        <w:t>【</w:t>
      </w:r>
      <w:r>
        <w:rPr>
          <w:rStyle w:val="15"/>
          <w:rFonts w:hint="eastAsia" w:ascii="宋体" w:hAnsi="宋体" w:cs="宋体"/>
          <w:b w:val="0"/>
          <w:bCs w:val="0"/>
          <w:color w:val="auto"/>
          <w:sz w:val="24"/>
          <w:lang w:val="en-US" w:eastAsia="zh-CN"/>
        </w:rPr>
        <w:t xml:space="preserve"> </w:t>
      </w:r>
      <w:r>
        <w:rPr>
          <w:rStyle w:val="15"/>
          <w:rFonts w:hint="eastAsia" w:ascii="宋体" w:hAnsi="宋体" w:cs="宋体"/>
          <w:b w:val="0"/>
          <w:bCs w:val="0"/>
          <w:color w:val="auto"/>
          <w:sz w:val="24"/>
          <w:lang w:eastAsia="zh-CN"/>
        </w:rPr>
        <w:t>】</w:t>
      </w:r>
      <w:r>
        <w:rPr>
          <w:rStyle w:val="15"/>
          <w:rFonts w:hint="eastAsia" w:ascii="宋体" w:hAnsi="宋体" w:cs="宋体"/>
          <w:b w:val="0"/>
          <w:bCs w:val="0"/>
          <w:color w:val="auto"/>
          <w:sz w:val="24"/>
        </w:rPr>
        <w:t>为一个结算周期，</w:t>
      </w:r>
      <w:r>
        <w:rPr>
          <w:rStyle w:val="15"/>
          <w:rFonts w:hint="eastAsia" w:ascii="宋体" w:hAnsi="宋体" w:cs="宋体"/>
          <w:b w:val="0"/>
          <w:bCs w:val="0"/>
          <w:color w:val="auto"/>
          <w:sz w:val="24"/>
          <w:lang w:val="en-US" w:eastAsia="zh-CN"/>
        </w:rPr>
        <w:t>乙方在系统向甲方发起对账申请，甲方在线确认并形成系统对账单后，由乙方上传系统对账单列表中产品名称，税率及金额一致的有效增值税专用发票并发起付款申请，甲方在收到系统付款指令并符合前述付款条件后的【 】个工作日内付款</w:t>
      </w:r>
      <w:r>
        <w:rPr>
          <w:rStyle w:val="15"/>
          <w:rFonts w:hint="eastAsia" w:ascii="宋体" w:hAnsi="宋体" w:cs="宋体"/>
          <w:b w:val="0"/>
          <w:bCs w:val="0"/>
          <w:color w:val="auto"/>
          <w:sz w:val="24"/>
        </w:rPr>
        <w:t>。</w:t>
      </w:r>
    </w:p>
    <w:p>
      <w:pPr>
        <w:spacing w:line="360" w:lineRule="auto"/>
        <w:ind w:firstLine="480"/>
        <w:jc w:val="left"/>
        <w:rPr>
          <w:rStyle w:val="15"/>
          <w:rFonts w:ascii="宋体" w:hAnsi="宋体" w:cs="宋体"/>
          <w:b w:val="0"/>
          <w:bCs w:val="0"/>
          <w:color w:val="auto"/>
          <w:sz w:val="24"/>
        </w:rPr>
      </w:pPr>
      <w:r>
        <w:rPr>
          <w:rStyle w:val="15"/>
          <w:rFonts w:hint="eastAsia" w:ascii="宋体" w:hAnsi="宋体" w:cs="宋体"/>
          <w:b w:val="0"/>
          <w:bCs w:val="0"/>
          <w:color w:val="auto"/>
          <w:sz w:val="24"/>
        </w:rPr>
        <w:t>（</w:t>
      </w:r>
      <w:r>
        <w:rPr>
          <w:rStyle w:val="15"/>
          <w:rFonts w:hint="eastAsia" w:ascii="宋体" w:hAnsi="宋体" w:cs="宋体"/>
          <w:b w:val="0"/>
          <w:bCs w:val="0"/>
          <w:color w:val="auto"/>
          <w:sz w:val="24"/>
          <w:lang w:val="en-US" w:eastAsia="zh-CN"/>
        </w:rPr>
        <w:t>4</w:t>
      </w:r>
      <w:r>
        <w:rPr>
          <w:rStyle w:val="15"/>
          <w:rFonts w:hint="eastAsia" w:ascii="宋体" w:hAnsi="宋体" w:cs="宋体"/>
          <w:b w:val="0"/>
          <w:bCs w:val="0"/>
          <w:color w:val="auto"/>
          <w:sz w:val="24"/>
        </w:rPr>
        <w:t>）其他结算方式：</w:t>
      </w:r>
      <w:r>
        <w:rPr>
          <w:rFonts w:hint="eastAsia" w:ascii="宋体" w:hAnsi="宋体" w:cs="宋体"/>
          <w:color w:val="auto"/>
          <w:sz w:val="24"/>
        </w:rPr>
        <w:t>【     】。</w:t>
      </w:r>
    </w:p>
    <w:p>
      <w:pPr>
        <w:spacing w:line="360" w:lineRule="auto"/>
        <w:ind w:firstLine="480"/>
        <w:jc w:val="left"/>
        <w:rPr>
          <w:rStyle w:val="15"/>
          <w:rFonts w:ascii="宋体" w:hAnsi="宋体" w:cs="宋体"/>
          <w:b w:val="0"/>
          <w:bCs w:val="0"/>
          <w:color w:val="auto"/>
          <w:sz w:val="24"/>
        </w:rPr>
      </w:pPr>
      <w:r>
        <w:rPr>
          <w:rStyle w:val="15"/>
          <w:rFonts w:hint="eastAsia" w:ascii="宋体" w:hAnsi="宋体" w:cs="宋体"/>
          <w:b w:val="0"/>
          <w:bCs w:val="0"/>
          <w:color w:val="auto"/>
          <w:sz w:val="24"/>
        </w:rPr>
        <w:t>5.2乙方收款账户信息如下：</w:t>
      </w:r>
    </w:p>
    <w:p>
      <w:pPr>
        <w:spacing w:line="360" w:lineRule="auto"/>
        <w:ind w:firstLine="480"/>
        <w:jc w:val="left"/>
        <w:rPr>
          <w:rStyle w:val="15"/>
          <w:rFonts w:ascii="宋体" w:hAnsi="宋体" w:cs="宋体"/>
          <w:b w:val="0"/>
          <w:bCs w:val="0"/>
          <w:color w:val="auto"/>
          <w:sz w:val="24"/>
        </w:rPr>
      </w:pPr>
      <w:r>
        <w:rPr>
          <w:rStyle w:val="15"/>
          <w:rFonts w:hint="eastAsia" w:ascii="宋体" w:hAnsi="宋体" w:cs="宋体"/>
          <w:b w:val="0"/>
          <w:bCs w:val="0"/>
          <w:color w:val="auto"/>
          <w:sz w:val="24"/>
        </w:rPr>
        <w:t>开户名称：</w:t>
      </w:r>
      <w:r>
        <w:rPr>
          <w:rFonts w:hint="eastAsia" w:ascii="宋体" w:hAnsi="宋体" w:cs="宋体"/>
          <w:color w:val="auto"/>
          <w:sz w:val="24"/>
        </w:rPr>
        <w:t>【     】</w:t>
      </w:r>
    </w:p>
    <w:p>
      <w:pPr>
        <w:spacing w:line="360" w:lineRule="auto"/>
        <w:ind w:firstLine="480"/>
        <w:jc w:val="left"/>
        <w:rPr>
          <w:rStyle w:val="15"/>
          <w:rFonts w:ascii="宋体" w:hAnsi="宋体" w:cs="宋体"/>
          <w:b w:val="0"/>
          <w:bCs w:val="0"/>
          <w:color w:val="auto"/>
          <w:sz w:val="24"/>
        </w:rPr>
      </w:pPr>
      <w:r>
        <w:rPr>
          <w:rStyle w:val="15"/>
          <w:rFonts w:hint="eastAsia" w:ascii="宋体" w:hAnsi="宋体" w:cs="宋体"/>
          <w:b w:val="0"/>
          <w:bCs w:val="0"/>
          <w:color w:val="auto"/>
          <w:sz w:val="24"/>
        </w:rPr>
        <w:t>开户银行：</w:t>
      </w:r>
      <w:r>
        <w:rPr>
          <w:rFonts w:hint="eastAsia" w:ascii="宋体" w:hAnsi="宋体" w:cs="宋体"/>
          <w:color w:val="auto"/>
          <w:sz w:val="24"/>
        </w:rPr>
        <w:t>【     】</w:t>
      </w:r>
    </w:p>
    <w:p>
      <w:pPr>
        <w:spacing w:line="360" w:lineRule="auto"/>
        <w:ind w:firstLine="480"/>
        <w:jc w:val="left"/>
        <w:rPr>
          <w:rStyle w:val="15"/>
          <w:rFonts w:ascii="宋体" w:hAnsi="宋体" w:cs="宋体"/>
          <w:b w:val="0"/>
          <w:bCs w:val="0"/>
          <w:color w:val="auto"/>
          <w:sz w:val="24"/>
        </w:rPr>
      </w:pPr>
      <w:r>
        <w:rPr>
          <w:rStyle w:val="15"/>
          <w:rFonts w:hint="eastAsia" w:ascii="宋体" w:hAnsi="宋体" w:cs="宋体"/>
          <w:b w:val="0"/>
          <w:bCs w:val="0"/>
          <w:color w:val="auto"/>
          <w:sz w:val="24"/>
        </w:rPr>
        <w:t>银行账号：</w:t>
      </w:r>
      <w:r>
        <w:rPr>
          <w:rFonts w:hint="eastAsia" w:ascii="宋体" w:hAnsi="宋体" w:cs="宋体"/>
          <w:color w:val="auto"/>
          <w:sz w:val="24"/>
        </w:rPr>
        <w:t>【     】</w:t>
      </w:r>
    </w:p>
    <w:p>
      <w:pPr>
        <w:spacing w:line="360" w:lineRule="auto"/>
        <w:ind w:firstLine="480"/>
        <w:jc w:val="left"/>
        <w:rPr>
          <w:rStyle w:val="15"/>
          <w:rFonts w:ascii="宋体" w:hAnsi="宋体" w:cs="宋体"/>
          <w:b w:val="0"/>
          <w:bCs w:val="0"/>
          <w:color w:val="auto"/>
          <w:sz w:val="24"/>
        </w:rPr>
      </w:pPr>
      <w:r>
        <w:rPr>
          <w:rStyle w:val="15"/>
          <w:rFonts w:hint="eastAsia" w:ascii="宋体" w:hAnsi="宋体" w:cs="宋体"/>
          <w:b w:val="0"/>
          <w:bCs w:val="0"/>
          <w:color w:val="auto"/>
          <w:sz w:val="24"/>
        </w:rPr>
        <w:t>5.3甲方发票信息如下：</w:t>
      </w:r>
    </w:p>
    <w:p>
      <w:pPr>
        <w:spacing w:line="360" w:lineRule="auto"/>
        <w:ind w:firstLine="480"/>
        <w:jc w:val="left"/>
        <w:rPr>
          <w:rStyle w:val="15"/>
          <w:rFonts w:ascii="宋体" w:hAnsi="宋体" w:cs="宋体"/>
          <w:b w:val="0"/>
          <w:bCs w:val="0"/>
          <w:color w:val="auto"/>
          <w:sz w:val="24"/>
        </w:rPr>
      </w:pPr>
      <w:r>
        <w:rPr>
          <w:rStyle w:val="15"/>
          <w:rFonts w:ascii="宋体" w:hAnsi="宋体" w:cs="宋体"/>
          <w:b w:val="0"/>
          <w:bCs w:val="0"/>
          <w:color w:val="auto"/>
          <w:sz w:val="24"/>
        </w:rPr>
        <w:t>单位名称：</w:t>
      </w:r>
      <w:r>
        <w:rPr>
          <w:rFonts w:hint="eastAsia" w:ascii="宋体" w:hAnsi="宋体" w:cs="宋体"/>
          <w:color w:val="auto"/>
          <w:sz w:val="24"/>
        </w:rPr>
        <w:t>【     】</w:t>
      </w:r>
    </w:p>
    <w:p>
      <w:pPr>
        <w:spacing w:line="360" w:lineRule="auto"/>
        <w:ind w:firstLine="480"/>
        <w:jc w:val="left"/>
        <w:rPr>
          <w:rStyle w:val="15"/>
          <w:rFonts w:ascii="宋体" w:hAnsi="宋体" w:cs="宋体"/>
          <w:b w:val="0"/>
          <w:bCs w:val="0"/>
          <w:color w:val="auto"/>
          <w:sz w:val="24"/>
        </w:rPr>
      </w:pPr>
      <w:r>
        <w:rPr>
          <w:rStyle w:val="15"/>
          <w:rFonts w:hint="eastAsia" w:ascii="宋体" w:hAnsi="宋体" w:cs="宋体"/>
          <w:b w:val="0"/>
          <w:bCs w:val="0"/>
          <w:color w:val="auto"/>
          <w:sz w:val="24"/>
        </w:rPr>
        <w:t>电    话</w:t>
      </w:r>
      <w:r>
        <w:rPr>
          <w:rStyle w:val="15"/>
          <w:rFonts w:ascii="宋体" w:hAnsi="宋体" w:cs="宋体"/>
          <w:b w:val="0"/>
          <w:bCs w:val="0"/>
          <w:color w:val="auto"/>
          <w:sz w:val="24"/>
        </w:rPr>
        <w:t>：</w:t>
      </w:r>
      <w:r>
        <w:rPr>
          <w:rFonts w:hint="eastAsia" w:ascii="宋体" w:hAnsi="宋体" w:cs="宋体"/>
          <w:color w:val="auto"/>
          <w:sz w:val="24"/>
        </w:rPr>
        <w:t>【     】</w:t>
      </w:r>
    </w:p>
    <w:p>
      <w:pPr>
        <w:spacing w:line="360" w:lineRule="auto"/>
        <w:ind w:firstLine="480"/>
        <w:jc w:val="left"/>
        <w:rPr>
          <w:rStyle w:val="15"/>
          <w:rFonts w:ascii="宋体" w:hAnsi="宋体" w:cs="宋体"/>
          <w:b w:val="0"/>
          <w:bCs w:val="0"/>
          <w:color w:val="auto"/>
          <w:sz w:val="24"/>
        </w:rPr>
      </w:pPr>
      <w:r>
        <w:rPr>
          <w:rStyle w:val="15"/>
          <w:rFonts w:ascii="宋体" w:hAnsi="宋体" w:cs="宋体"/>
          <w:b w:val="0"/>
          <w:bCs w:val="0"/>
          <w:color w:val="auto"/>
          <w:sz w:val="24"/>
        </w:rPr>
        <w:t>开户银行：</w:t>
      </w:r>
      <w:r>
        <w:rPr>
          <w:rFonts w:hint="eastAsia" w:ascii="宋体" w:hAnsi="宋体" w:cs="宋体"/>
          <w:color w:val="auto"/>
          <w:sz w:val="24"/>
        </w:rPr>
        <w:t>【     】</w:t>
      </w:r>
    </w:p>
    <w:p>
      <w:pPr>
        <w:spacing w:line="360" w:lineRule="auto"/>
        <w:ind w:firstLine="480"/>
        <w:jc w:val="left"/>
        <w:rPr>
          <w:rStyle w:val="15"/>
          <w:rFonts w:ascii="宋体" w:hAnsi="宋体" w:cs="宋体"/>
          <w:b w:val="0"/>
          <w:bCs w:val="0"/>
          <w:color w:val="auto"/>
          <w:sz w:val="24"/>
        </w:rPr>
      </w:pPr>
      <w:r>
        <w:rPr>
          <w:rStyle w:val="15"/>
          <w:rFonts w:ascii="宋体" w:hAnsi="宋体" w:cs="宋体"/>
          <w:b w:val="0"/>
          <w:bCs w:val="0"/>
          <w:color w:val="auto"/>
          <w:sz w:val="24"/>
        </w:rPr>
        <w:t>银行帐号：</w:t>
      </w:r>
      <w:r>
        <w:rPr>
          <w:rFonts w:hint="eastAsia" w:ascii="宋体" w:hAnsi="宋体" w:cs="宋体"/>
          <w:color w:val="auto"/>
          <w:sz w:val="24"/>
        </w:rPr>
        <w:t>【     】</w:t>
      </w:r>
    </w:p>
    <w:p>
      <w:pPr>
        <w:spacing w:line="360" w:lineRule="auto"/>
        <w:ind w:firstLine="480"/>
        <w:jc w:val="left"/>
        <w:rPr>
          <w:rStyle w:val="15"/>
          <w:rFonts w:ascii="宋体" w:hAnsi="宋体" w:cs="宋体"/>
          <w:b w:val="0"/>
          <w:bCs w:val="0"/>
          <w:color w:val="auto"/>
          <w:sz w:val="24"/>
        </w:rPr>
      </w:pPr>
      <w:r>
        <w:rPr>
          <w:rStyle w:val="15"/>
          <w:rFonts w:ascii="宋体" w:hAnsi="宋体" w:cs="宋体"/>
          <w:b w:val="0"/>
          <w:bCs w:val="0"/>
          <w:color w:val="auto"/>
          <w:sz w:val="24"/>
        </w:rPr>
        <w:t>税    号：</w:t>
      </w:r>
      <w:r>
        <w:rPr>
          <w:rFonts w:hint="eastAsia" w:ascii="宋体" w:hAnsi="宋体" w:cs="宋体"/>
          <w:color w:val="auto"/>
          <w:sz w:val="24"/>
        </w:rPr>
        <w:t>【     】</w:t>
      </w:r>
    </w:p>
    <w:p>
      <w:pPr>
        <w:spacing w:line="360" w:lineRule="auto"/>
        <w:ind w:firstLine="480"/>
        <w:jc w:val="left"/>
        <w:rPr>
          <w:rStyle w:val="15"/>
          <w:rFonts w:ascii="宋体" w:hAnsi="宋体" w:cs="宋体"/>
          <w:b w:val="0"/>
          <w:bCs w:val="0"/>
          <w:color w:val="auto"/>
          <w:sz w:val="24"/>
        </w:rPr>
      </w:pPr>
      <w:r>
        <w:rPr>
          <w:rStyle w:val="15"/>
          <w:rFonts w:ascii="宋体" w:hAnsi="宋体" w:cs="宋体"/>
          <w:b w:val="0"/>
          <w:bCs w:val="0"/>
          <w:color w:val="auto"/>
          <w:sz w:val="24"/>
        </w:rPr>
        <w:t>地    址：</w:t>
      </w:r>
      <w:r>
        <w:rPr>
          <w:rFonts w:hint="eastAsia" w:ascii="宋体" w:hAnsi="宋体" w:cs="宋体"/>
          <w:color w:val="auto"/>
          <w:sz w:val="24"/>
        </w:rPr>
        <w:t>【     】</w:t>
      </w:r>
    </w:p>
    <w:p>
      <w:pPr>
        <w:spacing w:line="360" w:lineRule="auto"/>
        <w:ind w:firstLine="480"/>
        <w:jc w:val="left"/>
        <w:rPr>
          <w:rStyle w:val="15"/>
          <w:rFonts w:ascii="宋体" w:hAnsi="宋体" w:cs="宋体"/>
          <w:b w:val="0"/>
          <w:bCs w:val="0"/>
          <w:color w:val="auto"/>
          <w:sz w:val="24"/>
        </w:rPr>
      </w:pPr>
      <w:r>
        <w:rPr>
          <w:rStyle w:val="15"/>
          <w:rFonts w:hint="eastAsia" w:ascii="宋体" w:hAnsi="宋体" w:cs="宋体"/>
          <w:b w:val="0"/>
          <w:bCs w:val="0"/>
          <w:color w:val="auto"/>
          <w:sz w:val="24"/>
        </w:rPr>
        <w:t>5.4乙方应根据国家及地方政府相关财税规定，提供有效发票，不同产品类别，提供不同发票：</w:t>
      </w:r>
    </w:p>
    <w:p>
      <w:pPr>
        <w:spacing w:line="360" w:lineRule="auto"/>
        <w:ind w:firstLine="480"/>
        <w:jc w:val="left"/>
        <w:rPr>
          <w:rStyle w:val="15"/>
          <w:rFonts w:ascii="宋体" w:hAnsi="宋体" w:cs="宋体"/>
          <w:b w:val="0"/>
          <w:bCs w:val="0"/>
          <w:color w:val="auto"/>
          <w:sz w:val="24"/>
        </w:rPr>
      </w:pPr>
      <w:r>
        <w:rPr>
          <w:rStyle w:val="15"/>
          <w:rFonts w:hint="eastAsia" w:ascii="宋体" w:hAnsi="宋体" w:cs="宋体"/>
          <w:b w:val="0"/>
          <w:bCs w:val="0"/>
          <w:color w:val="auto"/>
          <w:sz w:val="24"/>
        </w:rPr>
        <w:t>（1）产品为农副产品的，其中，</w:t>
      </w:r>
      <w:r>
        <w:rPr>
          <w:rStyle w:val="15"/>
          <w:rFonts w:ascii="宋体" w:hAnsi="宋体" w:cs="宋体"/>
          <w:b w:val="0"/>
          <w:bCs w:val="0"/>
          <w:color w:val="auto"/>
          <w:sz w:val="24"/>
        </w:rPr>
        <w:t>①</w:t>
      </w:r>
      <w:r>
        <w:rPr>
          <w:rStyle w:val="15"/>
          <w:rFonts w:hint="eastAsia" w:ascii="宋体" w:hAnsi="宋体" w:cs="宋体"/>
          <w:b w:val="0"/>
          <w:bCs w:val="0"/>
          <w:color w:val="auto"/>
          <w:sz w:val="24"/>
        </w:rPr>
        <w:t>鸡、鸭、鹅、牛、羊、猪、鲜活肉、蛋等初级产品及冻品、蔬菜，乙方应开具的发票类型为</w:t>
      </w:r>
      <w:r>
        <w:rPr>
          <w:rStyle w:val="15"/>
          <w:rFonts w:hint="eastAsia" w:ascii="宋体" w:hAnsi="宋体" w:cs="宋体"/>
          <w:b w:val="0"/>
          <w:bCs w:val="0"/>
          <w:color w:val="auto"/>
          <w:sz w:val="24"/>
        </w:rPr>
        <w:sym w:font="Wingdings 2" w:char="00A3"/>
      </w:r>
      <w:r>
        <w:rPr>
          <w:rFonts w:hint="eastAsia" w:ascii="宋体" w:hAnsi="宋体" w:cs="宋体"/>
          <w:color w:val="auto"/>
          <w:sz w:val="24"/>
        </w:rPr>
        <w:t>增值税</w:t>
      </w:r>
      <w:r>
        <w:rPr>
          <w:rFonts w:hint="eastAsia" w:ascii="宋体" w:hAnsi="宋体" w:cs="宋体"/>
          <w:color w:val="auto"/>
          <w:sz w:val="24"/>
          <w:lang w:val="en-US" w:eastAsia="zh-CN"/>
        </w:rPr>
        <w:t>免税</w:t>
      </w:r>
      <w:r>
        <w:rPr>
          <w:rFonts w:hint="eastAsia" w:ascii="宋体" w:hAnsi="宋体" w:cs="宋体"/>
          <w:color w:val="auto"/>
          <w:sz w:val="24"/>
        </w:rPr>
        <w:t>普通发票</w:t>
      </w:r>
      <w:r>
        <w:rPr>
          <w:rFonts w:hint="eastAsia" w:ascii="宋体" w:hAnsi="宋体" w:cs="宋体"/>
          <w:color w:val="auto"/>
          <w:sz w:val="24"/>
        </w:rPr>
        <w:sym w:font="Wingdings 2" w:char="00A3"/>
      </w:r>
      <w:r>
        <w:rPr>
          <w:rFonts w:hint="eastAsia" w:ascii="宋体" w:hAnsi="宋体" w:cs="宋体"/>
          <w:color w:val="auto"/>
          <w:sz w:val="24"/>
          <w:lang w:val="en-US" w:eastAsia="zh-CN"/>
        </w:rPr>
        <w:t>9%税率的</w:t>
      </w:r>
      <w:r>
        <w:rPr>
          <w:rFonts w:hint="eastAsia" w:ascii="宋体" w:hAnsi="宋体" w:cs="宋体"/>
          <w:color w:val="auto"/>
          <w:sz w:val="24"/>
        </w:rPr>
        <w:t>增值税专用发票</w:t>
      </w:r>
      <w:r>
        <w:rPr>
          <w:rStyle w:val="15"/>
          <w:rFonts w:hint="eastAsia" w:ascii="宋体" w:hAnsi="宋体" w:cs="宋体"/>
          <w:b w:val="0"/>
          <w:bCs w:val="0"/>
          <w:color w:val="auto"/>
          <w:sz w:val="24"/>
        </w:rPr>
        <w:t>；</w:t>
      </w:r>
      <w:r>
        <w:rPr>
          <w:rStyle w:val="15"/>
          <w:rFonts w:ascii="宋体" w:hAnsi="宋体" w:cs="宋体"/>
          <w:b w:val="0"/>
          <w:bCs w:val="0"/>
          <w:color w:val="auto"/>
          <w:sz w:val="24"/>
        </w:rPr>
        <w:t>②</w:t>
      </w:r>
      <w:r>
        <w:rPr>
          <w:rStyle w:val="15"/>
          <w:rFonts w:hint="eastAsia" w:ascii="宋体" w:hAnsi="宋体" w:cs="宋体"/>
          <w:b w:val="0"/>
          <w:bCs w:val="0"/>
          <w:color w:val="auto"/>
          <w:sz w:val="24"/>
        </w:rPr>
        <w:t>米、面、油</w:t>
      </w:r>
      <w:r>
        <w:rPr>
          <w:rStyle w:val="15"/>
          <w:rFonts w:hint="eastAsia" w:ascii="宋体" w:hAnsi="宋体" w:cs="宋体"/>
          <w:b w:val="0"/>
          <w:bCs w:val="0"/>
          <w:color w:val="auto"/>
          <w:sz w:val="24"/>
          <w:lang w:eastAsia="zh-CN"/>
        </w:rPr>
        <w:t>、</w:t>
      </w:r>
      <w:r>
        <w:rPr>
          <w:rStyle w:val="15"/>
          <w:rFonts w:hint="eastAsia" w:ascii="宋体" w:hAnsi="宋体" w:cs="宋体"/>
          <w:b w:val="0"/>
          <w:bCs w:val="0"/>
          <w:color w:val="auto"/>
          <w:sz w:val="24"/>
        </w:rPr>
        <w:t>水果，乙方开具</w:t>
      </w:r>
      <w:r>
        <w:rPr>
          <w:rStyle w:val="15"/>
          <w:rFonts w:hint="eastAsia" w:ascii="宋体" w:hAnsi="宋体" w:cs="宋体"/>
          <w:b w:val="0"/>
          <w:bCs w:val="0"/>
          <w:color w:val="auto"/>
          <w:sz w:val="24"/>
        </w:rPr>
        <w:sym w:font="Wingdings 2" w:char="00A3"/>
      </w:r>
      <w:r>
        <w:rPr>
          <w:rFonts w:hint="eastAsia" w:ascii="宋体" w:hAnsi="宋体" w:cs="宋体"/>
          <w:color w:val="auto"/>
          <w:sz w:val="24"/>
        </w:rPr>
        <w:t>增值税普通发票</w:t>
      </w:r>
      <w:r>
        <w:rPr>
          <w:rStyle w:val="15"/>
          <w:rFonts w:hint="eastAsia" w:ascii="宋体" w:hAnsi="宋体" w:cs="宋体"/>
          <w:b w:val="0"/>
          <w:bCs w:val="0"/>
          <w:color w:val="auto"/>
          <w:sz w:val="24"/>
        </w:rPr>
        <w:sym w:font="Wingdings 2" w:char="00A3"/>
      </w:r>
      <w:r>
        <w:rPr>
          <w:rStyle w:val="15"/>
          <w:rFonts w:hint="eastAsia" w:ascii="宋体" w:hAnsi="宋体" w:cs="宋体"/>
          <w:b w:val="0"/>
          <w:bCs w:val="0"/>
          <w:color w:val="auto"/>
          <w:sz w:val="24"/>
        </w:rPr>
        <w:t>9%</w:t>
      </w:r>
      <w:r>
        <w:rPr>
          <w:rStyle w:val="15"/>
          <w:rFonts w:hint="eastAsia" w:ascii="宋体" w:hAnsi="宋体" w:cs="宋体"/>
          <w:b w:val="0"/>
          <w:bCs w:val="0"/>
          <w:color w:val="auto"/>
          <w:sz w:val="24"/>
          <w:lang w:val="en-US" w:eastAsia="zh-CN"/>
        </w:rPr>
        <w:t>税率</w:t>
      </w:r>
      <w:r>
        <w:rPr>
          <w:rStyle w:val="15"/>
          <w:rFonts w:hint="eastAsia" w:ascii="宋体" w:hAnsi="宋体" w:cs="宋体"/>
          <w:b w:val="0"/>
          <w:bCs w:val="0"/>
          <w:color w:val="auto"/>
          <w:sz w:val="24"/>
        </w:rPr>
        <w:t>的增值税专用发票。</w:t>
      </w:r>
    </w:p>
    <w:p>
      <w:pPr>
        <w:spacing w:line="360" w:lineRule="auto"/>
        <w:ind w:firstLine="480"/>
        <w:jc w:val="left"/>
        <w:rPr>
          <w:rStyle w:val="15"/>
          <w:rFonts w:hint="eastAsia" w:ascii="宋体" w:hAnsi="宋体" w:eastAsia="宋体" w:cs="宋体"/>
          <w:b w:val="0"/>
          <w:bCs w:val="0"/>
          <w:color w:val="auto"/>
          <w:sz w:val="24"/>
        </w:rPr>
      </w:pPr>
      <w:r>
        <w:rPr>
          <w:rStyle w:val="15"/>
          <w:rFonts w:hint="eastAsia" w:ascii="宋体" w:hAnsi="宋体" w:cs="宋体"/>
          <w:b w:val="0"/>
          <w:bCs w:val="0"/>
          <w:color w:val="auto"/>
          <w:sz w:val="24"/>
        </w:rPr>
        <w:t>（2）产品为预包装食品、熟肉制品等的，乙方应开具</w:t>
      </w:r>
      <w:r>
        <w:rPr>
          <w:rStyle w:val="15"/>
          <w:rFonts w:hint="eastAsia" w:ascii="宋体" w:hAnsi="宋体" w:cs="宋体"/>
          <w:b w:val="0"/>
          <w:bCs w:val="0"/>
          <w:color w:val="auto"/>
          <w:sz w:val="24"/>
        </w:rPr>
        <w:sym w:font="Wingdings 2" w:char="00A3"/>
      </w:r>
      <w:r>
        <w:rPr>
          <w:rFonts w:hint="eastAsia" w:ascii="宋体" w:hAnsi="宋体" w:cs="宋体"/>
          <w:color w:val="auto"/>
          <w:sz w:val="24"/>
        </w:rPr>
        <w:t>增值税普通发票</w:t>
      </w:r>
      <w:r>
        <w:rPr>
          <w:rStyle w:val="15"/>
          <w:rFonts w:hint="eastAsia" w:ascii="宋体" w:hAnsi="宋体" w:cs="宋体"/>
          <w:b w:val="0"/>
          <w:bCs w:val="0"/>
          <w:color w:val="auto"/>
          <w:sz w:val="24"/>
        </w:rPr>
        <w:sym w:font="Wingdings 2" w:char="00A3"/>
      </w:r>
      <w:r>
        <w:rPr>
          <w:rStyle w:val="15"/>
          <w:rFonts w:hint="eastAsia" w:ascii="宋体" w:hAnsi="宋体" w:cs="宋体"/>
          <w:b w:val="0"/>
          <w:bCs w:val="0"/>
          <w:color w:val="auto"/>
          <w:sz w:val="24"/>
          <w:lang w:val="en-US" w:eastAsia="zh-CN"/>
        </w:rPr>
        <w:t>13</w:t>
      </w:r>
      <w:r>
        <w:rPr>
          <w:rStyle w:val="15"/>
          <w:rFonts w:hint="eastAsia" w:ascii="宋体" w:hAnsi="宋体" w:cs="宋体"/>
          <w:b w:val="0"/>
          <w:bCs w:val="0"/>
          <w:color w:val="auto"/>
          <w:sz w:val="24"/>
        </w:rPr>
        <w:t>%</w:t>
      </w:r>
      <w:r>
        <w:rPr>
          <w:rStyle w:val="15"/>
          <w:rFonts w:hint="eastAsia" w:ascii="宋体" w:hAnsi="宋体" w:cs="宋体"/>
          <w:b w:val="0"/>
          <w:bCs w:val="0"/>
          <w:color w:val="auto"/>
          <w:sz w:val="24"/>
          <w:lang w:val="en-US" w:eastAsia="zh-CN"/>
        </w:rPr>
        <w:t>税率</w:t>
      </w:r>
      <w:r>
        <w:rPr>
          <w:rStyle w:val="15"/>
          <w:rFonts w:hint="eastAsia" w:ascii="宋体" w:hAnsi="宋体" w:cs="宋体"/>
          <w:b w:val="0"/>
          <w:bCs w:val="0"/>
          <w:color w:val="auto"/>
          <w:sz w:val="24"/>
        </w:rPr>
        <w:t>的</w:t>
      </w:r>
      <w:r>
        <w:rPr>
          <w:rStyle w:val="15"/>
          <w:rFonts w:hint="eastAsia" w:ascii="宋体" w:hAnsi="宋体" w:eastAsia="宋体" w:cs="宋体"/>
          <w:b w:val="0"/>
          <w:bCs w:val="0"/>
          <w:color w:val="auto"/>
          <w:sz w:val="24"/>
        </w:rPr>
        <w:t>增值税专用发票。</w:t>
      </w:r>
    </w:p>
    <w:p>
      <w:pPr>
        <w:spacing w:line="360" w:lineRule="auto"/>
        <w:ind w:firstLine="480"/>
        <w:jc w:val="left"/>
        <w:rPr>
          <w:rStyle w:val="15"/>
          <w:rFonts w:hint="eastAsia" w:ascii="宋体" w:hAnsi="宋体" w:eastAsia="宋体" w:cs="宋体"/>
          <w:color w:val="0000FF"/>
          <w:sz w:val="24"/>
        </w:rPr>
      </w:pPr>
      <w:r>
        <w:rPr>
          <w:rStyle w:val="15"/>
          <w:rFonts w:hint="eastAsia" w:ascii="宋体" w:hAnsi="宋体" w:eastAsia="宋体" w:cs="宋体"/>
          <w:b w:val="0"/>
          <w:bCs w:val="0"/>
          <w:color w:val="auto"/>
          <w:sz w:val="24"/>
          <w:lang w:eastAsia="zh-CN"/>
        </w:rPr>
        <w:t>（</w:t>
      </w:r>
      <w:r>
        <w:rPr>
          <w:rStyle w:val="15"/>
          <w:rFonts w:hint="eastAsia" w:ascii="宋体" w:hAnsi="宋体" w:eastAsia="宋体" w:cs="宋体"/>
          <w:b w:val="0"/>
          <w:bCs w:val="0"/>
          <w:color w:val="auto"/>
          <w:sz w:val="24"/>
          <w:lang w:val="en-US" w:eastAsia="zh-CN"/>
        </w:rPr>
        <w:t>3</w:t>
      </w:r>
      <w:r>
        <w:rPr>
          <w:rStyle w:val="15"/>
          <w:rFonts w:hint="eastAsia" w:ascii="宋体" w:hAnsi="宋体" w:eastAsia="宋体" w:cs="宋体"/>
          <w:b w:val="0"/>
          <w:bCs w:val="0"/>
          <w:color w:val="auto"/>
          <w:sz w:val="24"/>
          <w:lang w:eastAsia="zh-CN"/>
        </w:rPr>
        <w:t>）</w:t>
      </w:r>
      <w:r>
        <w:rPr>
          <w:rStyle w:val="15"/>
          <w:rFonts w:hint="eastAsia" w:ascii="宋体" w:hAnsi="宋体" w:eastAsia="宋体" w:cs="宋体"/>
          <w:b w:val="0"/>
          <w:bCs w:val="0"/>
          <w:color w:val="auto"/>
          <w:sz w:val="24"/>
          <w:lang w:val="en-US" w:eastAsia="zh-CN"/>
        </w:rPr>
        <w:t>其他产品/货物开票类型及发票税率以甲方系统数据为准。</w:t>
      </w:r>
    </w:p>
    <w:p>
      <w:pPr>
        <w:spacing w:line="360" w:lineRule="auto"/>
        <w:ind w:firstLine="480"/>
        <w:jc w:val="left"/>
        <w:rPr>
          <w:rStyle w:val="15"/>
          <w:rFonts w:hint="eastAsia" w:ascii="宋体" w:hAnsi="宋体" w:eastAsia="宋体" w:cs="宋体"/>
          <w:b w:val="0"/>
          <w:bCs w:val="0"/>
          <w:color w:val="auto"/>
          <w:sz w:val="24"/>
        </w:rPr>
      </w:pPr>
      <w:r>
        <w:rPr>
          <w:rStyle w:val="15"/>
          <w:rFonts w:hint="eastAsia" w:ascii="宋体" w:hAnsi="宋体" w:eastAsia="宋体" w:cs="宋体"/>
          <w:b w:val="0"/>
          <w:bCs w:val="0"/>
          <w:color w:val="auto"/>
          <w:sz w:val="24"/>
        </w:rPr>
        <w:t>5.</w:t>
      </w:r>
      <w:r>
        <w:rPr>
          <w:rStyle w:val="15"/>
          <w:rFonts w:hint="eastAsia" w:ascii="宋体" w:hAnsi="宋体" w:cs="宋体"/>
          <w:b w:val="0"/>
          <w:bCs w:val="0"/>
          <w:color w:val="auto"/>
          <w:sz w:val="24"/>
          <w:lang w:val="en-US" w:eastAsia="zh-CN"/>
        </w:rPr>
        <w:t>6</w:t>
      </w:r>
      <w:r>
        <w:rPr>
          <w:rStyle w:val="15"/>
          <w:rFonts w:hint="eastAsia" w:ascii="宋体" w:hAnsi="宋体" w:eastAsia="宋体" w:cs="宋体"/>
          <w:b w:val="0"/>
          <w:bCs w:val="0"/>
          <w:color w:val="auto"/>
          <w:sz w:val="24"/>
        </w:rPr>
        <w:t>乙方保证其提交的发票真实、合法，若因乙方提供虚假发票导致甲方无法抵扣、申报、记账或因此遭受税务机关处罚等，乙方应赔偿甲方损失。</w:t>
      </w:r>
    </w:p>
    <w:p>
      <w:pPr>
        <w:spacing w:line="360" w:lineRule="auto"/>
        <w:ind w:firstLine="480"/>
        <w:jc w:val="left"/>
        <w:rPr>
          <w:rStyle w:val="15"/>
          <w:rFonts w:hint="eastAsia" w:ascii="宋体" w:hAnsi="宋体" w:eastAsia="宋体" w:cs="宋体"/>
          <w:b w:val="0"/>
          <w:bCs w:val="0"/>
          <w:color w:val="auto"/>
          <w:sz w:val="24"/>
        </w:rPr>
      </w:pPr>
      <w:r>
        <w:rPr>
          <w:rStyle w:val="15"/>
          <w:rFonts w:hint="eastAsia" w:ascii="宋体" w:hAnsi="宋体" w:eastAsia="宋体" w:cs="宋体"/>
          <w:b w:val="0"/>
          <w:bCs w:val="0"/>
          <w:color w:val="auto"/>
          <w:sz w:val="24"/>
        </w:rPr>
        <w:t>5</w:t>
      </w:r>
      <w:r>
        <w:rPr>
          <w:rStyle w:val="15"/>
          <w:rFonts w:hint="eastAsia" w:ascii="宋体" w:hAnsi="宋体" w:eastAsia="宋体" w:cs="宋体"/>
          <w:b w:val="0"/>
          <w:bCs w:val="0"/>
          <w:color w:val="auto"/>
          <w:sz w:val="24"/>
          <w:lang w:val="en-US" w:eastAsia="zh-Hans"/>
        </w:rPr>
        <w:t>.</w:t>
      </w:r>
      <w:r>
        <w:rPr>
          <w:rStyle w:val="15"/>
          <w:rFonts w:hint="eastAsia" w:ascii="宋体" w:hAnsi="宋体" w:cs="宋体"/>
          <w:b w:val="0"/>
          <w:bCs w:val="0"/>
          <w:color w:val="auto"/>
          <w:sz w:val="24"/>
          <w:lang w:val="en-US" w:eastAsia="zh-CN"/>
        </w:rPr>
        <w:t>7</w:t>
      </w:r>
      <w:r>
        <w:rPr>
          <w:rStyle w:val="15"/>
          <w:rFonts w:hint="eastAsia" w:ascii="宋体" w:hAnsi="宋体" w:eastAsia="宋体" w:cs="宋体"/>
          <w:b w:val="0"/>
          <w:bCs w:val="0"/>
          <w:color w:val="auto"/>
          <w:sz w:val="24"/>
        </w:rPr>
        <w:t>收款账户条款：即便有前述约定，双方确认，合作过程中，甲方可（而非义务）为乙方搭建数字供应链融资的合作渠道，乙方可自行选择是否与该等融资银行开展数字供应链融资业务；若乙方选择开展数字供应链融资业务的，乙方在此不可撤销地承诺</w:t>
      </w:r>
    </w:p>
    <w:p>
      <w:pPr>
        <w:spacing w:line="360" w:lineRule="auto"/>
        <w:ind w:firstLine="480"/>
        <w:jc w:val="left"/>
        <w:rPr>
          <w:rStyle w:val="15"/>
          <w:rFonts w:hint="eastAsia" w:ascii="宋体" w:hAnsi="宋体" w:eastAsia="宋体" w:cs="宋体"/>
          <w:b w:val="0"/>
          <w:bCs w:val="0"/>
          <w:color w:val="auto"/>
          <w:sz w:val="24"/>
        </w:rPr>
      </w:pPr>
      <w:r>
        <w:rPr>
          <w:rStyle w:val="15"/>
          <w:rFonts w:hint="eastAsia" w:ascii="宋体" w:hAnsi="宋体" w:eastAsia="宋体" w:cs="宋体"/>
          <w:b w:val="0"/>
          <w:bCs w:val="0"/>
          <w:color w:val="auto"/>
          <w:sz w:val="24"/>
        </w:rPr>
        <w:t>（1）为开展该等融资业务，乙方同意甲方有权适时向该等银行提供其全部信息；</w:t>
      </w:r>
    </w:p>
    <w:p>
      <w:pPr>
        <w:numPr>
          <w:ilvl w:val="0"/>
          <w:numId w:val="2"/>
        </w:numPr>
        <w:spacing w:line="360" w:lineRule="auto"/>
        <w:ind w:firstLine="480"/>
        <w:jc w:val="left"/>
        <w:rPr>
          <w:rStyle w:val="15"/>
          <w:rFonts w:hint="eastAsia" w:ascii="宋体" w:hAnsi="宋体" w:eastAsia="宋体" w:cs="宋体"/>
          <w:b w:val="0"/>
          <w:bCs w:val="0"/>
          <w:color w:val="auto"/>
          <w:sz w:val="24"/>
        </w:rPr>
      </w:pPr>
      <w:r>
        <w:rPr>
          <w:rStyle w:val="15"/>
          <w:rFonts w:hint="eastAsia" w:ascii="宋体" w:hAnsi="宋体" w:eastAsia="宋体" w:cs="宋体"/>
          <w:b w:val="0"/>
          <w:bCs w:val="0"/>
          <w:color w:val="auto"/>
          <w:sz w:val="24"/>
        </w:rPr>
        <w:t>乙方在该等银行及其分支机构开立的账户将专门用于接收甲方于本合同项下的应付款项；</w:t>
      </w:r>
    </w:p>
    <w:p>
      <w:pPr>
        <w:numPr>
          <w:ilvl w:val="0"/>
          <w:numId w:val="2"/>
        </w:numPr>
        <w:spacing w:line="360" w:lineRule="auto"/>
        <w:ind w:firstLine="480"/>
        <w:jc w:val="left"/>
        <w:rPr>
          <w:rStyle w:val="15"/>
          <w:rFonts w:hint="eastAsia" w:ascii="宋体" w:hAnsi="宋体" w:eastAsia="宋体" w:cs="宋体"/>
          <w:b w:val="0"/>
          <w:bCs w:val="0"/>
          <w:color w:val="auto"/>
          <w:sz w:val="24"/>
        </w:rPr>
      </w:pPr>
      <w:r>
        <w:rPr>
          <w:rStyle w:val="15"/>
          <w:rFonts w:hint="eastAsia" w:ascii="宋体" w:hAnsi="宋体" w:eastAsia="宋体" w:cs="宋体"/>
          <w:b w:val="0"/>
          <w:bCs w:val="0"/>
          <w:color w:val="auto"/>
          <w:sz w:val="24"/>
        </w:rPr>
        <w:t>乙方审慎履行与该等银行之间的协议，该等协议的履约风险概由乙方承担。</w:t>
      </w:r>
    </w:p>
    <w:p>
      <w:pPr>
        <w:spacing w:line="360" w:lineRule="auto"/>
        <w:ind w:firstLine="480"/>
        <w:jc w:val="left"/>
        <w:rPr>
          <w:rFonts w:ascii="宋体" w:hAnsi="宋体" w:cs="宋体"/>
          <w:color w:val="auto"/>
          <w:sz w:val="24"/>
        </w:rPr>
      </w:pPr>
      <w:r>
        <w:rPr>
          <w:rStyle w:val="15"/>
          <w:rFonts w:hint="eastAsia" w:ascii="宋体" w:hAnsi="宋体" w:cs="宋体"/>
          <w:color w:val="auto"/>
          <w:sz w:val="24"/>
        </w:rPr>
        <w:t>第六条  违约责任</w:t>
      </w:r>
    </w:p>
    <w:p>
      <w:pPr>
        <w:pStyle w:val="22"/>
        <w:spacing w:line="360" w:lineRule="auto"/>
        <w:ind w:firstLine="480" w:firstLineChars="200"/>
        <w:rPr>
          <w:rFonts w:ascii="宋体" w:hAnsi="宋体" w:cs="宋体"/>
          <w:color w:val="auto"/>
          <w:sz w:val="24"/>
        </w:rPr>
      </w:pPr>
      <w:r>
        <w:rPr>
          <w:rFonts w:hint="eastAsia" w:ascii="宋体" w:hAnsi="宋体" w:cs="宋体"/>
          <w:color w:val="auto"/>
          <w:sz w:val="24"/>
        </w:rPr>
        <w:t>6.1本合同一经签订，双方即应严格按照本合同相关约定履行各自义务，如有违约，违约方应向守约方支付【5】万元的违约金，违约金不足弥补损失的，违约方还应赔偿各项损失。就违约金另有约定的，从其约定。</w:t>
      </w:r>
    </w:p>
    <w:p>
      <w:pPr>
        <w:pStyle w:val="22"/>
        <w:spacing w:line="360" w:lineRule="auto"/>
        <w:ind w:firstLine="480" w:firstLineChars="200"/>
        <w:rPr>
          <w:rFonts w:ascii="宋体" w:hAnsi="宋体" w:cs="宋体"/>
          <w:color w:val="auto"/>
          <w:sz w:val="24"/>
        </w:rPr>
      </w:pPr>
      <w:r>
        <w:rPr>
          <w:rFonts w:hint="eastAsia" w:ascii="宋体" w:hAnsi="宋体" w:cs="宋体"/>
          <w:color w:val="auto"/>
          <w:sz w:val="24"/>
        </w:rPr>
        <w:t>6.2因乙方原因造成甲方损失的，乙方赔偿范围包括但不限于甲方因停工待料遭受的损失、人工损失、运费损失、仓储费损失、对第三方的违约责任和损失赔偿、诉讼费、保全费、律师费、办案差旅费、鉴定费、公证费、行政罚款等合理费用；若导致甲方因此被新闻媒体报道或被起诉或被行政处罚的，乙方还应向甲方支付商誉损害赔偿金，具体金额由双方协商确定，但应不低于人民币【5】万元。</w:t>
      </w:r>
    </w:p>
    <w:p>
      <w:pPr>
        <w:pStyle w:val="22"/>
        <w:spacing w:line="360" w:lineRule="auto"/>
        <w:ind w:firstLine="480" w:firstLineChars="200"/>
        <w:rPr>
          <w:rFonts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val="en-US" w:eastAsia="zh-CN"/>
        </w:rPr>
        <w:t>3</w:t>
      </w:r>
      <w:r>
        <w:rPr>
          <w:rFonts w:hint="eastAsia" w:ascii="宋体" w:hAnsi="宋体" w:cs="宋体"/>
          <w:color w:val="auto"/>
          <w:sz w:val="24"/>
        </w:rPr>
        <w:t>未经甲方事先书面同意，乙方逾期交货的，每逾期一日，乙方应按订单总金额的【万分之</w:t>
      </w:r>
      <w:r>
        <w:rPr>
          <w:rFonts w:hint="eastAsia" w:ascii="宋体" w:hAnsi="宋体" w:cs="宋体"/>
          <w:color w:val="auto"/>
          <w:sz w:val="24"/>
          <w:lang w:val="en-US" w:eastAsia="zh-CN"/>
        </w:rPr>
        <w:t>三</w:t>
      </w:r>
      <w:r>
        <w:rPr>
          <w:rFonts w:hint="eastAsia" w:ascii="宋体" w:hAnsi="宋体" w:cs="宋体"/>
          <w:color w:val="auto"/>
          <w:sz w:val="24"/>
        </w:rPr>
        <w:t>】向甲方支付违约金；乙方逾期交货达【5】日的，甲方有权解除该次采购订单，并追究乙方违约责任，乙方应按该次采购订单总金额的20%向甲方支付违约金。合同期限内，乙方累计逾期达3次或连续逾期达2次的，甲方有权解除本合同，并要求乙方按本合同采购总额的20%支付违约金，但应不低于人民币【5】万元。</w:t>
      </w:r>
    </w:p>
    <w:p>
      <w:pPr>
        <w:pStyle w:val="22"/>
        <w:spacing w:line="360" w:lineRule="auto"/>
        <w:ind w:firstLine="480" w:firstLineChars="200"/>
        <w:rPr>
          <w:rFonts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val="en-US" w:eastAsia="zh-CN"/>
        </w:rPr>
        <w:t>4</w:t>
      </w:r>
      <w:r>
        <w:rPr>
          <w:rFonts w:hint="eastAsia" w:ascii="宋体" w:hAnsi="宋体" w:cs="宋体"/>
          <w:color w:val="auto"/>
          <w:sz w:val="24"/>
        </w:rPr>
        <w:t>乙方无故拒绝甲方订单的，应按该次采购订单总金额的20%向甲方支付违约金，并赔偿因此给甲方造成的损失。</w:t>
      </w:r>
    </w:p>
    <w:p>
      <w:pPr>
        <w:pStyle w:val="22"/>
        <w:spacing w:line="360" w:lineRule="auto"/>
        <w:ind w:firstLine="480" w:firstLineChars="200"/>
        <w:rPr>
          <w:rFonts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val="en-US" w:eastAsia="zh-CN"/>
        </w:rPr>
        <w:t>5</w:t>
      </w:r>
      <w:r>
        <w:rPr>
          <w:rFonts w:hint="eastAsia" w:ascii="宋体" w:hAnsi="宋体" w:cs="宋体"/>
          <w:color w:val="auto"/>
          <w:sz w:val="24"/>
        </w:rPr>
        <w:t>乙方未及时取回拒收货物或退换货物的，应向甲方支付仓储费，甲方暂为保管期间仅承担善良管理人之义务，货物损毁灭失的风险由乙方承担；如乙方逾期30日仍未取回的，视为乙方放弃所有权，甲方有权自行处置或销毁，如产生处置、销毁费用的，由乙方承担。</w:t>
      </w:r>
    </w:p>
    <w:p>
      <w:pPr>
        <w:pStyle w:val="22"/>
        <w:spacing w:line="360" w:lineRule="auto"/>
        <w:ind w:firstLine="480" w:firstLineChars="200"/>
        <w:rPr>
          <w:rFonts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val="en-US" w:eastAsia="zh-CN"/>
        </w:rPr>
        <w:t>6</w:t>
      </w:r>
      <w:r>
        <w:rPr>
          <w:rFonts w:hint="eastAsia" w:ascii="宋体" w:hAnsi="宋体" w:cs="宋体"/>
          <w:color w:val="auto"/>
          <w:sz w:val="24"/>
        </w:rPr>
        <w:t>如因乙方产品质量问题给甲方造成损失的，乙方应承担经济赔偿责任并负相关法律责任，同时，乙方应按该次采购订单总金额的20%向甲方支付违约金。</w:t>
      </w:r>
    </w:p>
    <w:p>
      <w:pPr>
        <w:pStyle w:val="22"/>
        <w:spacing w:line="360" w:lineRule="auto"/>
        <w:ind w:firstLine="480" w:firstLineChars="200"/>
        <w:rPr>
          <w:rFonts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val="en-US" w:eastAsia="zh-CN"/>
        </w:rPr>
        <w:t>7</w:t>
      </w:r>
      <w:r>
        <w:rPr>
          <w:rFonts w:hint="eastAsia" w:ascii="宋体" w:hAnsi="宋体" w:cs="宋体"/>
          <w:color w:val="auto"/>
          <w:sz w:val="24"/>
        </w:rPr>
        <w:t>任何一方有其他违约行为的，经相对方催告后未在催告期内采取有效补救、整改措施的，相对方有权解除本合同并要求违约方承担违约责任。</w:t>
      </w:r>
    </w:p>
    <w:p>
      <w:pPr>
        <w:pStyle w:val="22"/>
        <w:spacing w:line="360" w:lineRule="auto"/>
        <w:ind w:firstLine="480" w:firstLineChars="200"/>
        <w:rPr>
          <w:rFonts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val="en-US" w:eastAsia="zh-CN"/>
        </w:rPr>
        <w:t>8</w:t>
      </w:r>
      <w:r>
        <w:rPr>
          <w:rFonts w:hint="eastAsia" w:ascii="宋体" w:hAnsi="宋体" w:cs="宋体"/>
          <w:color w:val="auto"/>
          <w:sz w:val="24"/>
        </w:rPr>
        <w:t>乙方出现违约或可能导致甲方权益受损的事由的，甲方有权暂停支付应付未付货款，甲乙双方协商确定违约金、赔偿金数额后，甲方有权从应付未付货款中进行等额抵扣。</w:t>
      </w:r>
    </w:p>
    <w:p>
      <w:pPr>
        <w:spacing w:line="360" w:lineRule="auto"/>
        <w:ind w:firstLine="480" w:firstLineChars="200"/>
        <w:rPr>
          <w:rFonts w:ascii="宋体" w:hAnsi="宋体" w:cs="宋体"/>
          <w:b/>
          <w:bCs/>
          <w:color w:val="auto"/>
          <w:sz w:val="24"/>
        </w:rPr>
      </w:pPr>
      <w:r>
        <w:rPr>
          <w:rFonts w:hint="eastAsia" w:ascii="宋体" w:hAnsi="宋体" w:cs="宋体"/>
          <w:b/>
          <w:bCs/>
          <w:color w:val="auto"/>
          <w:sz w:val="24"/>
        </w:rPr>
        <w:t>第七条  法律适用及解决争议</w:t>
      </w:r>
    </w:p>
    <w:p>
      <w:pPr>
        <w:spacing w:line="360" w:lineRule="auto"/>
        <w:ind w:firstLine="480" w:firstLineChars="200"/>
        <w:rPr>
          <w:rFonts w:ascii="宋体" w:hAnsi="宋体" w:cs="宋体"/>
          <w:color w:val="auto"/>
          <w:sz w:val="24"/>
        </w:rPr>
      </w:pPr>
      <w:r>
        <w:rPr>
          <w:rFonts w:hint="eastAsia" w:ascii="宋体" w:hAnsi="宋体" w:cs="宋体"/>
          <w:color w:val="auto"/>
          <w:sz w:val="24"/>
        </w:rPr>
        <w:t>7.1本合同及本合同的履行均受中国法律管辖并按中国法律解释，排除冲突规范的适用。</w:t>
      </w:r>
    </w:p>
    <w:p>
      <w:pPr>
        <w:spacing w:line="360" w:lineRule="auto"/>
        <w:ind w:firstLine="480" w:firstLineChars="200"/>
        <w:rPr>
          <w:rFonts w:ascii="宋体" w:hAnsi="宋体" w:cs="宋体"/>
          <w:color w:val="auto"/>
          <w:sz w:val="24"/>
        </w:rPr>
      </w:pPr>
      <w:r>
        <w:rPr>
          <w:rFonts w:hint="eastAsia" w:ascii="宋体" w:hAnsi="宋体" w:cs="宋体"/>
          <w:color w:val="auto"/>
          <w:sz w:val="24"/>
        </w:rPr>
        <w:t>7.2本合同生效以后，如发生争议，由双方协商解决，协商不成的，应向</w:t>
      </w:r>
      <w:r>
        <w:rPr>
          <w:rFonts w:hint="eastAsia" w:ascii="宋体" w:hAnsi="宋体" w:cs="宋体"/>
          <w:color w:val="auto"/>
          <w:sz w:val="24"/>
          <w:lang w:val="en-US" w:eastAsia="zh-CN"/>
        </w:rPr>
        <w:t>成都市锦江区</w:t>
      </w:r>
      <w:r>
        <w:rPr>
          <w:rFonts w:hint="eastAsia" w:ascii="宋体" w:hAnsi="宋体" w:cs="宋体"/>
          <w:color w:val="auto"/>
          <w:sz w:val="24"/>
        </w:rPr>
        <w:t>人民法院提起诉讼。</w:t>
      </w:r>
    </w:p>
    <w:p>
      <w:pPr>
        <w:spacing w:line="360" w:lineRule="auto"/>
        <w:ind w:firstLine="480" w:firstLineChars="200"/>
        <w:rPr>
          <w:rFonts w:ascii="宋体" w:hAnsi="宋体" w:cs="宋体"/>
          <w:b/>
          <w:bCs/>
          <w:color w:val="auto"/>
          <w:sz w:val="24"/>
        </w:rPr>
      </w:pPr>
      <w:r>
        <w:rPr>
          <w:rFonts w:hint="eastAsia" w:ascii="宋体" w:hAnsi="宋体" w:cs="宋体"/>
          <w:b/>
          <w:bCs/>
          <w:color w:val="auto"/>
          <w:sz w:val="24"/>
        </w:rPr>
        <w:t>第八条  合同期限</w:t>
      </w:r>
    </w:p>
    <w:p>
      <w:pPr>
        <w:spacing w:line="360" w:lineRule="auto"/>
        <w:ind w:firstLine="480" w:firstLineChars="200"/>
        <w:rPr>
          <w:rFonts w:ascii="宋体" w:hAnsi="宋体" w:cs="宋体"/>
          <w:color w:val="auto"/>
          <w:sz w:val="24"/>
        </w:rPr>
      </w:pPr>
      <w:r>
        <w:rPr>
          <w:rFonts w:hint="eastAsia" w:ascii="宋体" w:hAnsi="宋体" w:cs="宋体"/>
          <w:color w:val="auto"/>
          <w:sz w:val="24"/>
        </w:rPr>
        <w:t>8.1合同有效期自【   】起至【    】止。</w:t>
      </w:r>
    </w:p>
    <w:p>
      <w:pPr>
        <w:spacing w:line="360" w:lineRule="auto"/>
        <w:ind w:firstLine="480" w:firstLineChars="200"/>
        <w:rPr>
          <w:rFonts w:ascii="宋体" w:hAnsi="宋体" w:cs="宋体"/>
          <w:color w:val="auto"/>
          <w:sz w:val="24"/>
        </w:rPr>
      </w:pPr>
      <w:r>
        <w:rPr>
          <w:rFonts w:hint="eastAsia" w:ascii="宋体" w:hAnsi="宋体" w:cs="宋体"/>
          <w:color w:val="auto"/>
          <w:sz w:val="24"/>
        </w:rPr>
        <w:t>8.2本合同期满后即自动终止，如双方通过邮件等书面方式经协商一致而延续合作的，应及时签署新合同，新合同签订前的过渡期内，双方参照本合同条款执行，但前述过渡期不得超过【1】个月。</w:t>
      </w:r>
    </w:p>
    <w:p>
      <w:pPr>
        <w:spacing w:line="360" w:lineRule="auto"/>
        <w:ind w:firstLine="480" w:firstLineChars="200"/>
        <w:rPr>
          <w:rFonts w:ascii="宋体" w:hAnsi="宋体" w:cs="宋体"/>
          <w:b/>
          <w:bCs/>
          <w:color w:val="auto"/>
          <w:sz w:val="24"/>
        </w:rPr>
      </w:pPr>
      <w:r>
        <w:rPr>
          <w:rFonts w:hint="eastAsia" w:ascii="宋体" w:hAnsi="宋体" w:cs="宋体"/>
          <w:b/>
          <w:bCs/>
          <w:color w:val="auto"/>
          <w:sz w:val="24"/>
        </w:rPr>
        <w:t>第九条  其他事项</w:t>
      </w:r>
    </w:p>
    <w:p>
      <w:pPr>
        <w:spacing w:line="360" w:lineRule="auto"/>
        <w:ind w:firstLine="480" w:firstLineChars="200"/>
        <w:rPr>
          <w:rFonts w:ascii="宋体" w:hAnsi="宋体" w:cs="宋体"/>
          <w:color w:val="auto"/>
          <w:sz w:val="24"/>
        </w:rPr>
      </w:pPr>
      <w:r>
        <w:rPr>
          <w:rFonts w:hint="eastAsia" w:ascii="宋体" w:hAnsi="宋体" w:cs="宋体"/>
          <w:color w:val="auto"/>
          <w:sz w:val="24"/>
        </w:rPr>
        <w:t>9.1乙方工作人员（含乙方员工、雇工、乙方委托的第三方等因本合同履行而由乙方派往甲方或甲方指定方的人员）进入甲方或甲方指定收货方厂区、办公区、库房等辖区的，应遵守甲方与/或甲方指定方的相关管理制度，乙方工作人员履约期间的行为由乙方承担全部责任。</w:t>
      </w:r>
    </w:p>
    <w:p>
      <w:pPr>
        <w:spacing w:line="360" w:lineRule="auto"/>
        <w:ind w:firstLine="480" w:firstLineChars="200"/>
        <w:rPr>
          <w:rStyle w:val="15"/>
          <w:rFonts w:ascii="宋体" w:hAnsi="宋体" w:cs="宋体"/>
          <w:b w:val="0"/>
          <w:bCs w:val="0"/>
          <w:color w:val="auto"/>
          <w:sz w:val="24"/>
        </w:rPr>
      </w:pPr>
      <w:r>
        <w:rPr>
          <w:rFonts w:hint="eastAsia" w:ascii="宋体" w:hAnsi="宋体" w:cs="宋体"/>
          <w:color w:val="auto"/>
          <w:sz w:val="24"/>
        </w:rPr>
        <w:t>9.2任何一方根据本合同约定向另一方发出的通知等文件均应采用书面形式、以中文书写，并以本合同第1.4条约定的联系方式向对方发送。通知等文件若以电子邮件方式发送的，以发送方终端收到发出成功的讯号之日视为送达；以快递方式寄送的，快递系统显示签收之日视为送达。双方确认，法院及政府机构的司法、行政等法律文书的送达，亦适用本条约定。</w:t>
      </w:r>
    </w:p>
    <w:p>
      <w:pPr>
        <w:spacing w:line="360" w:lineRule="auto"/>
        <w:ind w:firstLine="470" w:firstLineChars="196"/>
        <w:rPr>
          <w:rFonts w:ascii="宋体" w:hAnsi="宋体" w:cs="宋体"/>
          <w:color w:val="auto"/>
          <w:sz w:val="24"/>
        </w:rPr>
      </w:pPr>
      <w:r>
        <w:rPr>
          <w:rFonts w:hint="eastAsia" w:ascii="宋体" w:hAnsi="宋体" w:cs="宋体"/>
          <w:color w:val="auto"/>
          <w:sz w:val="24"/>
        </w:rPr>
        <w:t>9.3本合同所称“书面”或“书面形式”是指用文字来进行意思表示，包括签字盖章确认的书面文件以及第1.4条约定联系方式的电子邮件、手机短信、微信聊天记录、平台数据等。</w:t>
      </w:r>
    </w:p>
    <w:p>
      <w:pPr>
        <w:spacing w:line="360" w:lineRule="auto"/>
        <w:ind w:firstLine="480" w:firstLineChars="200"/>
        <w:rPr>
          <w:rStyle w:val="15"/>
          <w:rFonts w:hint="eastAsia" w:ascii="宋体" w:hAnsi="宋体" w:cs="宋体"/>
          <w:b w:val="0"/>
          <w:bCs w:val="0"/>
          <w:color w:val="auto"/>
          <w:sz w:val="24"/>
          <w:lang w:val="en-US" w:eastAsia="zh-Hans"/>
        </w:rPr>
      </w:pPr>
      <w:r>
        <w:rPr>
          <w:rStyle w:val="15"/>
          <w:rFonts w:hint="eastAsia" w:ascii="宋体" w:hAnsi="宋体" w:cs="宋体"/>
          <w:b w:val="0"/>
          <w:bCs w:val="0"/>
          <w:color w:val="auto"/>
          <w:sz w:val="24"/>
        </w:rPr>
        <w:t>9.4</w:t>
      </w:r>
      <w:r>
        <w:rPr>
          <w:rStyle w:val="15"/>
          <w:rFonts w:hint="eastAsia" w:ascii="宋体" w:hAnsi="宋体" w:cs="宋体"/>
          <w:b w:val="0"/>
          <w:bCs w:val="0"/>
          <w:color w:val="auto"/>
          <w:sz w:val="24"/>
          <w:lang w:val="en-US" w:eastAsia="zh-Hans"/>
        </w:rPr>
        <w:t>经甲乙双方友好协商一致，乙方授权甲方及甲方关联公司，出于相关业绩展示的使用目的，无偿使用乙方商号及相关商标</w:t>
      </w:r>
      <w:r>
        <w:rPr>
          <w:rStyle w:val="15"/>
          <w:rFonts w:hint="default" w:ascii="宋体" w:hAnsi="宋体" w:cs="宋体"/>
          <w:b w:val="0"/>
          <w:bCs w:val="0"/>
          <w:color w:val="auto"/>
          <w:sz w:val="24"/>
          <w:lang w:eastAsia="zh-Hans"/>
        </w:rPr>
        <w:t>、</w:t>
      </w:r>
      <w:r>
        <w:rPr>
          <w:rStyle w:val="15"/>
          <w:rFonts w:hint="eastAsia" w:ascii="宋体" w:hAnsi="宋体" w:cs="宋体"/>
          <w:b w:val="0"/>
          <w:bCs w:val="0"/>
          <w:color w:val="auto"/>
          <w:sz w:val="24"/>
          <w:lang w:val="en-US" w:eastAsia="zh-Hans"/>
        </w:rPr>
        <w:t>LOGO等。</w:t>
      </w:r>
    </w:p>
    <w:p>
      <w:pPr>
        <w:spacing w:line="360" w:lineRule="auto"/>
        <w:ind w:firstLine="480" w:firstLineChars="200"/>
        <w:rPr>
          <w:rStyle w:val="15"/>
          <w:rFonts w:hint="eastAsia" w:ascii="宋体" w:hAnsi="宋体" w:eastAsia="宋体" w:cs="宋体"/>
          <w:b w:val="0"/>
          <w:bCs w:val="0"/>
          <w:color w:val="auto"/>
          <w:sz w:val="24"/>
          <w:lang w:eastAsia="zh-Hans"/>
        </w:rPr>
      </w:pPr>
      <w:r>
        <w:rPr>
          <w:rStyle w:val="15"/>
          <w:rFonts w:hint="eastAsia" w:ascii="宋体" w:hAnsi="宋体" w:eastAsia="宋体" w:cs="宋体"/>
          <w:b w:val="0"/>
          <w:bCs w:val="0"/>
          <w:color w:val="auto"/>
          <w:sz w:val="24"/>
          <w:lang w:eastAsia="zh-Hans"/>
        </w:rPr>
        <w:t>9</w:t>
      </w:r>
      <w:r>
        <w:rPr>
          <w:rStyle w:val="15"/>
          <w:rFonts w:hint="eastAsia" w:ascii="宋体" w:hAnsi="宋体" w:eastAsia="宋体" w:cs="宋体"/>
          <w:b w:val="0"/>
          <w:bCs w:val="0"/>
          <w:color w:val="auto"/>
          <w:sz w:val="24"/>
          <w:lang w:val="en-US" w:eastAsia="zh-Hans"/>
        </w:rPr>
        <w:t>.</w:t>
      </w:r>
      <w:r>
        <w:rPr>
          <w:rStyle w:val="15"/>
          <w:rFonts w:hint="eastAsia" w:ascii="宋体" w:hAnsi="宋体" w:eastAsia="宋体" w:cs="宋体"/>
          <w:b w:val="0"/>
          <w:bCs w:val="0"/>
          <w:color w:val="auto"/>
          <w:sz w:val="24"/>
          <w:lang w:eastAsia="zh-Hans"/>
        </w:rPr>
        <w:t>5乙方</w:t>
      </w:r>
      <w:r>
        <w:rPr>
          <w:rStyle w:val="15"/>
          <w:rFonts w:hint="eastAsia" w:ascii="宋体" w:hAnsi="宋体" w:eastAsia="宋体" w:cs="宋体"/>
          <w:b w:val="0"/>
          <w:bCs w:val="0"/>
          <w:color w:val="auto"/>
          <w:sz w:val="24"/>
          <w:lang w:val="en-US" w:eastAsia="zh-Hans"/>
        </w:rPr>
        <w:t>承诺</w:t>
      </w:r>
      <w:r>
        <w:rPr>
          <w:rStyle w:val="15"/>
          <w:rFonts w:hint="eastAsia" w:ascii="宋体" w:hAnsi="宋体" w:eastAsia="宋体" w:cs="宋体"/>
          <w:b w:val="0"/>
          <w:bCs w:val="0"/>
          <w:color w:val="auto"/>
          <w:sz w:val="24"/>
          <w:lang w:eastAsia="zh-Hans"/>
        </w:rPr>
        <w:t>提供的书面材料或</w:t>
      </w:r>
      <w:r>
        <w:rPr>
          <w:rStyle w:val="15"/>
          <w:rFonts w:hint="eastAsia" w:ascii="宋体" w:hAnsi="宋体" w:eastAsia="宋体" w:cs="宋体"/>
          <w:b w:val="0"/>
          <w:bCs w:val="0"/>
          <w:color w:val="auto"/>
          <w:sz w:val="24"/>
          <w:lang w:val="en-US" w:eastAsia="zh-Hans"/>
        </w:rPr>
        <w:t>给</w:t>
      </w:r>
      <w:r>
        <w:rPr>
          <w:rStyle w:val="15"/>
          <w:rFonts w:hint="eastAsia" w:ascii="宋体" w:hAnsi="宋体" w:eastAsia="宋体" w:cs="宋体"/>
          <w:b w:val="0"/>
          <w:bCs w:val="0"/>
          <w:color w:val="auto"/>
          <w:sz w:val="24"/>
          <w:lang w:eastAsia="zh-Hans"/>
        </w:rPr>
        <w:t>与甲方或甲方一切信息资料均为真实、完整且有效。</w:t>
      </w:r>
    </w:p>
    <w:p>
      <w:pPr>
        <w:spacing w:line="360" w:lineRule="auto"/>
        <w:ind w:firstLineChars="200"/>
        <w:rPr>
          <w:rStyle w:val="15"/>
          <w:rFonts w:hint="eastAsia" w:ascii="宋体" w:hAnsi="宋体" w:eastAsia="宋体" w:cs="宋体"/>
          <w:b w:val="0"/>
          <w:bCs w:val="0"/>
          <w:color w:val="auto"/>
          <w:sz w:val="24"/>
          <w:szCs w:val="24"/>
        </w:rPr>
      </w:pPr>
      <w:r>
        <w:rPr>
          <w:rStyle w:val="15"/>
          <w:rFonts w:hint="default" w:ascii="宋体" w:hAnsi="宋体" w:eastAsia="宋体" w:cs="宋体"/>
          <w:b w:val="0"/>
          <w:bCs w:val="0"/>
          <w:sz w:val="24"/>
          <w:szCs w:val="24"/>
        </w:rPr>
        <w:t>9</w:t>
      </w:r>
      <w:r>
        <w:rPr>
          <w:rStyle w:val="15"/>
          <w:rFonts w:hint="eastAsia" w:ascii="宋体" w:hAnsi="宋体" w:eastAsia="宋体" w:cs="宋体"/>
          <w:b w:val="0"/>
          <w:bCs w:val="0"/>
          <w:sz w:val="24"/>
          <w:szCs w:val="24"/>
          <w:lang w:val="en-US" w:eastAsia="zh-Hans"/>
        </w:rPr>
        <w:t>.</w:t>
      </w:r>
      <w:r>
        <w:rPr>
          <w:rStyle w:val="15"/>
          <w:rFonts w:hint="default" w:ascii="宋体" w:hAnsi="宋体" w:eastAsia="宋体" w:cs="宋体"/>
          <w:b w:val="0"/>
          <w:bCs w:val="0"/>
          <w:sz w:val="24"/>
          <w:szCs w:val="24"/>
          <w:lang w:eastAsia="zh-Hans"/>
        </w:rPr>
        <w:t xml:space="preserve">6 </w:t>
      </w:r>
      <w:r>
        <w:rPr>
          <w:rStyle w:val="15"/>
          <w:rFonts w:hint="eastAsia" w:ascii="宋体" w:hAnsi="宋体" w:eastAsia="宋体" w:cs="宋体"/>
          <w:b w:val="0"/>
          <w:bCs w:val="0"/>
          <w:sz w:val="24"/>
          <w:szCs w:val="24"/>
        </w:rPr>
        <w:t>乙方保证从为甲方提供</w:t>
      </w:r>
      <w:r>
        <w:rPr>
          <w:rStyle w:val="15"/>
          <w:rFonts w:ascii="宋体" w:hAnsi="宋体" w:eastAsia="宋体" w:cs="宋体"/>
          <w:b w:val="0"/>
          <w:bCs w:val="0"/>
          <w:sz w:val="24"/>
          <w:szCs w:val="24"/>
        </w:rPr>
        <w:t>本合同</w:t>
      </w:r>
      <w:r>
        <w:rPr>
          <w:rStyle w:val="15"/>
          <w:rFonts w:hint="eastAsia" w:ascii="宋体" w:hAnsi="宋体" w:eastAsia="宋体" w:cs="宋体"/>
          <w:b w:val="0"/>
          <w:bCs w:val="0"/>
          <w:sz w:val="24"/>
          <w:szCs w:val="24"/>
        </w:rPr>
        <w:t>服务开始到合作结束后的一年内，不从事任何与甲方利益相抵触的业务，特别是乙方将不会与甲方客户直接或间接发生业务关系。一经发现，乙方承诺将按照甲乙双方过去一年</w:t>
      </w:r>
      <w:r>
        <w:rPr>
          <w:rStyle w:val="15"/>
          <w:rFonts w:ascii="宋体" w:hAnsi="宋体" w:eastAsia="宋体" w:cs="宋体"/>
          <w:b w:val="0"/>
          <w:bCs w:val="0"/>
          <w:sz w:val="24"/>
          <w:szCs w:val="24"/>
        </w:rPr>
        <w:t>订单</w:t>
      </w:r>
      <w:r>
        <w:rPr>
          <w:rStyle w:val="15"/>
          <w:rFonts w:hint="eastAsia" w:ascii="宋体" w:hAnsi="宋体" w:eastAsia="宋体" w:cs="宋体"/>
          <w:b w:val="0"/>
          <w:bCs w:val="0"/>
          <w:sz w:val="24"/>
          <w:szCs w:val="24"/>
        </w:rPr>
        <w:t>总额的30%支付给甲方作为补偿（如果双方的合同执行尚未满一年，则按照</w:t>
      </w:r>
      <w:r>
        <w:rPr>
          <w:rStyle w:val="15"/>
          <w:rFonts w:ascii="宋体" w:hAnsi="宋体" w:eastAsia="宋体" w:cs="宋体"/>
          <w:b w:val="0"/>
          <w:bCs w:val="0"/>
          <w:sz w:val="24"/>
          <w:szCs w:val="24"/>
        </w:rPr>
        <w:t>实际合同期内的订单总额计算</w:t>
      </w:r>
      <w:r>
        <w:rPr>
          <w:rStyle w:val="15"/>
          <w:rFonts w:hint="eastAsia" w:ascii="宋体" w:hAnsi="宋体" w:eastAsia="宋体" w:cs="宋体"/>
          <w:b w:val="0"/>
          <w:bCs w:val="0"/>
          <w:sz w:val="24"/>
          <w:szCs w:val="24"/>
        </w:rPr>
        <w:t>）。</w:t>
      </w:r>
    </w:p>
    <w:p>
      <w:pPr>
        <w:spacing w:line="360" w:lineRule="auto"/>
        <w:ind w:firstLine="480" w:firstLineChars="200"/>
        <w:rPr>
          <w:rStyle w:val="15"/>
          <w:rFonts w:hint="eastAsia" w:ascii="宋体" w:hAnsi="宋体" w:eastAsia="宋体" w:cs="宋体"/>
          <w:b w:val="0"/>
          <w:bCs w:val="0"/>
          <w:color w:val="auto"/>
          <w:sz w:val="24"/>
          <w:lang w:eastAsia="zh-Hans"/>
        </w:rPr>
      </w:pPr>
      <w:r>
        <w:rPr>
          <w:rStyle w:val="15"/>
          <w:rFonts w:hint="eastAsia" w:ascii="宋体" w:hAnsi="宋体" w:eastAsia="宋体" w:cs="宋体"/>
          <w:b w:val="0"/>
          <w:bCs w:val="0"/>
          <w:color w:val="auto"/>
          <w:sz w:val="24"/>
          <w:lang w:eastAsia="zh-Hans"/>
        </w:rPr>
        <w:t>9.</w:t>
      </w:r>
      <w:r>
        <w:rPr>
          <w:rStyle w:val="15"/>
          <w:rFonts w:hint="default" w:ascii="宋体" w:hAnsi="宋体" w:eastAsia="宋体" w:cs="宋体"/>
          <w:b w:val="0"/>
          <w:bCs w:val="0"/>
          <w:color w:val="auto"/>
          <w:sz w:val="24"/>
          <w:lang w:eastAsia="zh-Hans"/>
        </w:rPr>
        <w:t>7</w:t>
      </w:r>
      <w:r>
        <w:rPr>
          <w:rStyle w:val="15"/>
          <w:rFonts w:hint="eastAsia" w:ascii="宋体" w:hAnsi="宋体" w:eastAsia="宋体" w:cs="宋体"/>
          <w:b w:val="0"/>
          <w:bCs w:val="0"/>
          <w:color w:val="auto"/>
          <w:sz w:val="24"/>
          <w:lang w:eastAsia="zh-Hans"/>
        </w:rPr>
        <w:t>其他约定：</w:t>
      </w:r>
      <w:r>
        <w:rPr>
          <w:rStyle w:val="15"/>
          <w:rFonts w:ascii="宋体" w:hAnsi="宋体" w:eastAsia="宋体" w:cs="宋体"/>
          <w:b w:val="0"/>
          <w:bCs w:val="0"/>
          <w:lang w:eastAsia="zh-Hans"/>
        </w:rPr>
        <w:t>【            】</w:t>
      </w:r>
      <w:r>
        <w:rPr>
          <w:rStyle w:val="15"/>
          <w:rFonts w:hint="eastAsia" w:ascii="宋体" w:hAnsi="宋体" w:cs="宋体"/>
          <w:b w:val="0"/>
          <w:bCs w:val="0"/>
          <w:lang w:val="en-US" w:eastAsia="zh-CN"/>
        </w:rPr>
        <w:t>及见本合同附件</w:t>
      </w:r>
      <w:r>
        <w:rPr>
          <w:rStyle w:val="15"/>
          <w:rFonts w:ascii="宋体" w:hAnsi="宋体" w:eastAsia="宋体" w:cs="宋体"/>
          <w:b w:val="0"/>
          <w:bCs w:val="0"/>
          <w:lang w:eastAsia="zh-Hans"/>
        </w:rPr>
        <w:t>。</w:t>
      </w:r>
    </w:p>
    <w:p>
      <w:pPr>
        <w:spacing w:line="360" w:lineRule="auto"/>
        <w:ind w:firstLine="480" w:firstLineChars="200"/>
        <w:rPr>
          <w:rStyle w:val="15"/>
          <w:rFonts w:ascii="宋体" w:hAnsi="宋体" w:cs="宋体"/>
          <w:b w:val="0"/>
          <w:bCs w:val="0"/>
          <w:color w:val="auto"/>
          <w:kern w:val="0"/>
          <w:sz w:val="24"/>
        </w:rPr>
      </w:pPr>
      <w:r>
        <w:rPr>
          <w:rStyle w:val="15"/>
          <w:rFonts w:hint="eastAsia" w:ascii="宋体" w:hAnsi="宋体" w:cs="宋体"/>
          <w:b w:val="0"/>
          <w:bCs w:val="0"/>
          <w:color w:val="auto"/>
          <w:sz w:val="24"/>
        </w:rPr>
        <w:t>9.</w:t>
      </w:r>
      <w:r>
        <w:rPr>
          <w:rStyle w:val="15"/>
          <w:rFonts w:hint="default" w:ascii="宋体" w:hAnsi="宋体" w:cs="宋体"/>
          <w:b w:val="0"/>
          <w:bCs w:val="0"/>
          <w:color w:val="auto"/>
          <w:sz w:val="24"/>
        </w:rPr>
        <w:t>8</w:t>
      </w:r>
      <w:r>
        <w:rPr>
          <w:rStyle w:val="15"/>
          <w:rFonts w:hint="eastAsia" w:ascii="宋体" w:hAnsi="宋体" w:cs="宋体"/>
          <w:b w:val="0"/>
          <w:bCs w:val="0"/>
          <w:color w:val="auto"/>
          <w:sz w:val="24"/>
        </w:rPr>
        <w:t>本合同经双方加盖公章或合同章后生效，</w:t>
      </w:r>
      <w:r>
        <w:rPr>
          <w:rStyle w:val="15"/>
          <w:rFonts w:hint="eastAsia" w:ascii="宋体" w:hAnsi="宋体" w:cs="宋体"/>
          <w:b w:val="0"/>
          <w:bCs w:val="0"/>
          <w:color w:val="auto"/>
          <w:kern w:val="0"/>
          <w:sz w:val="24"/>
        </w:rPr>
        <w:t>一式</w:t>
      </w: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w:t>
      </w:r>
      <w:r>
        <w:rPr>
          <w:rStyle w:val="15"/>
          <w:rFonts w:hint="eastAsia" w:ascii="宋体" w:hAnsi="宋体" w:cs="宋体"/>
          <w:b w:val="0"/>
          <w:bCs w:val="0"/>
          <w:color w:val="auto"/>
          <w:kern w:val="0"/>
          <w:sz w:val="24"/>
        </w:rPr>
        <w:t>份，</w:t>
      </w:r>
      <w:r>
        <w:rPr>
          <w:rStyle w:val="15"/>
          <w:rFonts w:hint="eastAsia" w:ascii="宋体" w:hAnsi="宋体" w:cs="宋体"/>
          <w:b w:val="0"/>
          <w:bCs w:val="0"/>
          <w:color w:val="auto"/>
          <w:kern w:val="0"/>
          <w:sz w:val="24"/>
          <w:lang w:val="en-US" w:eastAsia="zh-CN"/>
        </w:rPr>
        <w:t>甲方</w:t>
      </w:r>
      <w:r>
        <w:rPr>
          <w:rStyle w:val="15"/>
          <w:rFonts w:hint="eastAsia" w:ascii="宋体" w:hAnsi="宋体" w:cs="宋体"/>
          <w:b w:val="0"/>
          <w:bCs w:val="0"/>
          <w:color w:val="auto"/>
          <w:kern w:val="0"/>
          <w:sz w:val="24"/>
        </w:rPr>
        <w:t>执</w:t>
      </w: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w:t>
      </w:r>
      <w:r>
        <w:rPr>
          <w:rStyle w:val="15"/>
          <w:rFonts w:hint="eastAsia" w:ascii="宋体" w:hAnsi="宋体" w:cs="宋体"/>
          <w:b w:val="0"/>
          <w:bCs w:val="0"/>
          <w:color w:val="auto"/>
          <w:kern w:val="0"/>
          <w:sz w:val="24"/>
        </w:rPr>
        <w:t>份</w:t>
      </w:r>
      <w:r>
        <w:rPr>
          <w:rStyle w:val="15"/>
          <w:rFonts w:hint="eastAsia" w:ascii="宋体" w:hAnsi="宋体" w:cs="宋体"/>
          <w:b w:val="0"/>
          <w:bCs w:val="0"/>
          <w:color w:val="auto"/>
          <w:kern w:val="0"/>
          <w:sz w:val="24"/>
          <w:lang w:eastAsia="zh-CN"/>
        </w:rPr>
        <w:t>，</w:t>
      </w:r>
      <w:r>
        <w:rPr>
          <w:rStyle w:val="15"/>
          <w:rFonts w:hint="eastAsia" w:ascii="宋体" w:hAnsi="宋体" w:cs="宋体"/>
          <w:b w:val="0"/>
          <w:bCs w:val="0"/>
          <w:color w:val="auto"/>
          <w:kern w:val="0"/>
          <w:sz w:val="24"/>
          <w:lang w:val="en-US" w:eastAsia="zh-CN"/>
        </w:rPr>
        <w:t>乙方执【1】份</w:t>
      </w:r>
      <w:r>
        <w:rPr>
          <w:rStyle w:val="15"/>
          <w:rFonts w:hint="eastAsia" w:ascii="宋体" w:hAnsi="宋体" w:cs="宋体"/>
          <w:b w:val="0"/>
          <w:bCs w:val="0"/>
          <w:color w:val="auto"/>
          <w:kern w:val="0"/>
          <w:sz w:val="24"/>
        </w:rPr>
        <w:t>，每份具有同等法律效力。</w:t>
      </w:r>
    </w:p>
    <w:p>
      <w:pPr>
        <w:spacing w:line="360" w:lineRule="auto"/>
        <w:ind w:firstLine="470" w:firstLineChars="196"/>
        <w:rPr>
          <w:rFonts w:ascii="宋体" w:hAnsi="宋体" w:cs="宋体"/>
          <w:color w:val="auto"/>
          <w:sz w:val="24"/>
        </w:rPr>
      </w:pPr>
      <w:r>
        <w:rPr>
          <w:rFonts w:hint="eastAsia" w:ascii="宋体" w:hAnsi="宋体" w:cs="宋体"/>
          <w:color w:val="auto"/>
          <w:sz w:val="24"/>
        </w:rPr>
        <w:t>（以下无正文）</w:t>
      </w:r>
    </w:p>
    <w:p>
      <w:pPr>
        <w:spacing w:line="360" w:lineRule="auto"/>
        <w:ind w:firstLine="0" w:firstLineChars="0"/>
        <w:rPr>
          <w:rFonts w:ascii="宋体" w:hAnsi="宋体" w:cs="宋体"/>
          <w:color w:val="auto"/>
          <w:sz w:val="24"/>
        </w:rPr>
      </w:pPr>
    </w:p>
    <w:p>
      <w:pPr>
        <w:spacing w:line="360" w:lineRule="auto"/>
        <w:ind w:firstLine="471" w:firstLineChars="196"/>
        <w:rPr>
          <w:rFonts w:ascii="宋体" w:hAnsi="宋体" w:cs="宋体"/>
          <w:b/>
          <w:bCs/>
          <w:color w:val="auto"/>
          <w:sz w:val="24"/>
        </w:rPr>
      </w:pPr>
      <w:r>
        <w:rPr>
          <w:rFonts w:hint="eastAsia" w:ascii="宋体" w:hAnsi="宋体" w:cs="宋体"/>
          <w:b/>
          <w:bCs/>
          <w:color w:val="auto"/>
          <w:sz w:val="24"/>
        </w:rPr>
        <w:t>甲方(盖章)：                          乙方(盖章)：</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4"/>
          <w:szCs w:val="24"/>
          <w:lang w:val="en-US" w:eastAsia="zh-CN"/>
          <w14:ligatures w14:val="none"/>
        </w:rPr>
      </w:pPr>
      <w:r>
        <w:rPr>
          <w:rFonts w:hint="eastAsia" w:ascii="宋体" w:hAnsi="宋体" w:cs="宋体"/>
          <w:color w:val="auto"/>
        </w:rPr>
        <w:br w:type="page"/>
      </w:r>
      <w:r>
        <w:rPr>
          <w:rFonts w:hint="eastAsia" w:ascii="宋体" w:hAnsi="宋体" w:eastAsia="宋体" w:cs="宋体"/>
          <w:snapToGrid/>
          <w:color w:val="000000"/>
          <w:kern w:val="2"/>
          <w:sz w:val="24"/>
          <w:szCs w:val="24"/>
          <w:lang w:val="en-US" w:eastAsia="zh-CN"/>
          <w14:ligatures w14:val="none"/>
        </w:rPr>
        <w:t>附件1：</w:t>
      </w:r>
    </w:p>
    <w:p>
      <w:pPr>
        <w:pStyle w:val="4"/>
        <w:bidi w:val="0"/>
        <w:spacing w:line="360" w:lineRule="auto"/>
        <w:jc w:val="center"/>
        <w:rPr>
          <w:rFonts w:hint="eastAsia" w:ascii="宋体" w:hAnsi="宋体" w:eastAsia="宋体" w:cs="宋体"/>
          <w:lang w:eastAsia="zh-CN"/>
        </w:rPr>
      </w:pPr>
      <w:r>
        <w:rPr>
          <w:rFonts w:hint="eastAsia" w:ascii="宋体" w:hAnsi="宋体" w:eastAsia="宋体" w:cs="宋体"/>
          <w:lang w:eastAsia="zh-CN"/>
        </w:rPr>
        <w:t>阳光合作协议</w:t>
      </w:r>
    </w:p>
    <w:p>
      <w:pPr>
        <w:widowControl w:val="0"/>
        <w:kinsoku/>
        <w:autoSpaceDE/>
        <w:autoSpaceDN/>
        <w:adjustRightInd/>
        <w:snapToGrid/>
        <w:spacing w:line="360" w:lineRule="auto"/>
        <w:jc w:val="both"/>
        <w:textAlignment w:val="auto"/>
        <w:rPr>
          <w:rFonts w:hint="eastAsia" w:asciiTheme="minorEastAsia" w:hAnsiTheme="minorEastAsia" w:eastAsiaTheme="minorEastAsia" w:cstheme="minorEastAsia"/>
          <w:snapToGrid/>
          <w:color w:val="000000"/>
          <w:kern w:val="2"/>
          <w:sz w:val="24"/>
          <w:szCs w:val="24"/>
          <w:lang w:eastAsia="zh-CN"/>
          <w14:ligatures w14:val="none"/>
        </w:rPr>
      </w:pPr>
      <w:r>
        <w:rPr>
          <w:rFonts w:hint="eastAsia" w:asciiTheme="minorEastAsia" w:hAnsiTheme="minorEastAsia" w:eastAsiaTheme="minorEastAsia" w:cstheme="minorEastAsia"/>
          <w:b/>
          <w:snapToGrid/>
          <w:color w:val="000000"/>
          <w:kern w:val="2"/>
          <w:sz w:val="24"/>
          <w:szCs w:val="24"/>
          <w:lang w:eastAsia="zh-CN"/>
          <w14:ligatures w14:val="none"/>
        </w:rPr>
        <w:t>甲方</w:t>
      </w:r>
      <w:r>
        <w:rPr>
          <w:rFonts w:hint="eastAsia" w:asciiTheme="minorEastAsia" w:hAnsiTheme="minorEastAsia" w:eastAsiaTheme="minorEastAsia" w:cstheme="minorEastAsia"/>
          <w:snapToGrid/>
          <w:color w:val="000000"/>
          <w:kern w:val="2"/>
          <w:sz w:val="24"/>
          <w:szCs w:val="24"/>
          <w:lang w:eastAsia="zh-CN"/>
          <w14:ligatures w14:val="none"/>
        </w:rPr>
        <w:t>：</w:t>
      </w:r>
    </w:p>
    <w:p>
      <w:pPr>
        <w:widowControl/>
        <w:kinsoku/>
        <w:autoSpaceDE/>
        <w:autoSpaceDN/>
        <w:adjustRightInd/>
        <w:snapToGrid/>
        <w:spacing w:line="360" w:lineRule="auto"/>
        <w:jc w:val="left"/>
        <w:textAlignment w:val="auto"/>
        <w:rPr>
          <w:rFonts w:hint="eastAsia" w:asciiTheme="minorEastAsia" w:hAnsiTheme="minorEastAsia" w:eastAsiaTheme="minorEastAsia" w:cstheme="minorEastAsia"/>
          <w:snapToGrid/>
          <w:kern w:val="0"/>
          <w:sz w:val="24"/>
          <w:szCs w:val="24"/>
          <w:lang w:eastAsia="zh-CN"/>
          <w14:ligatures w14:val="none"/>
        </w:rPr>
      </w:pPr>
      <w:r>
        <w:rPr>
          <w:rFonts w:hint="eastAsia" w:asciiTheme="minorEastAsia" w:hAnsiTheme="minorEastAsia" w:eastAsiaTheme="minorEastAsia" w:cstheme="minorEastAsia"/>
          <w:b/>
          <w:snapToGrid/>
          <w:color w:val="000000"/>
          <w:kern w:val="2"/>
          <w:sz w:val="24"/>
          <w:szCs w:val="24"/>
          <w:lang w:eastAsia="zh-CN"/>
          <w14:ligatures w14:val="none"/>
        </w:rPr>
        <w:t>乙方</w:t>
      </w:r>
      <w:r>
        <w:rPr>
          <w:rFonts w:hint="eastAsia" w:asciiTheme="minorEastAsia" w:hAnsiTheme="minorEastAsia" w:eastAsiaTheme="minorEastAsia" w:cstheme="minorEastAsia"/>
          <w:snapToGrid/>
          <w:color w:val="000000"/>
          <w:kern w:val="2"/>
          <w:sz w:val="24"/>
          <w:szCs w:val="24"/>
          <w:lang w:eastAsia="zh-CN"/>
          <w14:ligatures w14:val="none"/>
        </w:rPr>
        <w:t>：</w:t>
      </w:r>
    </w:p>
    <w:p>
      <w:pPr>
        <w:widowControl w:val="0"/>
        <w:kinsoku/>
        <w:autoSpaceDE/>
        <w:autoSpaceDN/>
        <w:adjustRightInd/>
        <w:snapToGrid/>
        <w:spacing w:line="360" w:lineRule="auto"/>
        <w:ind w:firstLine="480" w:firstLineChars="200"/>
        <w:jc w:val="both"/>
        <w:textAlignment w:val="auto"/>
        <w:rPr>
          <w:rFonts w:hint="eastAsia" w:asciiTheme="minorEastAsia" w:hAnsiTheme="minorEastAsia" w:eastAsiaTheme="minorEastAsia" w:cstheme="minorEastAsia"/>
          <w:snapToGrid/>
          <w:color w:val="000000"/>
          <w:kern w:val="2"/>
          <w:sz w:val="24"/>
          <w:szCs w:val="24"/>
          <w:lang w:eastAsia="zh-CN"/>
          <w14:ligatures w14:val="none"/>
        </w:rPr>
      </w:pPr>
      <w:r>
        <w:rPr>
          <w:rFonts w:hint="eastAsia" w:asciiTheme="minorEastAsia" w:hAnsiTheme="minorEastAsia" w:eastAsiaTheme="minorEastAsia" w:cstheme="minorEastAsia"/>
          <w:snapToGrid/>
          <w:color w:val="000000"/>
          <w:kern w:val="2"/>
          <w:sz w:val="24"/>
          <w:szCs w:val="24"/>
          <w:lang w:eastAsia="zh-CN"/>
          <w14:ligatures w14:val="none"/>
        </w:rPr>
        <w:t>鉴于甲乙双方于</w:t>
      </w:r>
      <w:r>
        <w:rPr>
          <w:rFonts w:hint="eastAsia" w:asciiTheme="minorEastAsia" w:hAnsiTheme="minorEastAsia" w:eastAsiaTheme="minorEastAsia" w:cstheme="minorEastAsia"/>
          <w:snapToGrid/>
          <w:color w:val="000000"/>
          <w:kern w:val="2"/>
          <w:sz w:val="24"/>
          <w:szCs w:val="24"/>
          <w:lang w:val="en-US" w:eastAsia="zh-CN"/>
          <w14:ligatures w14:val="none"/>
        </w:rPr>
        <w:t xml:space="preserve">   </w:t>
      </w:r>
      <w:r>
        <w:rPr>
          <w:rFonts w:hint="eastAsia" w:asciiTheme="minorEastAsia" w:hAnsiTheme="minorEastAsia" w:eastAsiaTheme="minorEastAsia" w:cstheme="minorEastAsia"/>
          <w:snapToGrid/>
          <w:color w:val="000000"/>
          <w:kern w:val="2"/>
          <w:sz w:val="24"/>
          <w:szCs w:val="24"/>
          <w:lang w:eastAsia="zh-CN"/>
          <w14:ligatures w14:val="none"/>
        </w:rPr>
        <w:t>年</w:t>
      </w:r>
      <w:r>
        <w:rPr>
          <w:rFonts w:hint="eastAsia" w:asciiTheme="minorEastAsia" w:hAnsiTheme="minorEastAsia" w:eastAsiaTheme="minorEastAsia" w:cstheme="minorEastAsia"/>
          <w:snapToGrid/>
          <w:color w:val="000000"/>
          <w:kern w:val="2"/>
          <w:sz w:val="24"/>
          <w:szCs w:val="24"/>
          <w:lang w:val="en-US" w:eastAsia="zh-CN"/>
          <w14:ligatures w14:val="none"/>
        </w:rPr>
        <w:t xml:space="preserve">   </w:t>
      </w:r>
      <w:r>
        <w:rPr>
          <w:rFonts w:hint="eastAsia" w:asciiTheme="minorEastAsia" w:hAnsiTheme="minorEastAsia" w:eastAsiaTheme="minorEastAsia" w:cstheme="minorEastAsia"/>
          <w:snapToGrid/>
          <w:color w:val="000000"/>
          <w:kern w:val="2"/>
          <w:sz w:val="24"/>
          <w:szCs w:val="24"/>
          <w:lang w:eastAsia="zh-CN"/>
          <w14:ligatures w14:val="none"/>
        </w:rPr>
        <w:t>月签署了编号为</w:t>
      </w:r>
      <w:r>
        <w:rPr>
          <w:rFonts w:hint="eastAsia" w:asciiTheme="minorEastAsia" w:hAnsiTheme="minorEastAsia" w:eastAsiaTheme="minorEastAsia" w:cstheme="minorEastAsia"/>
          <w:snapToGrid/>
          <w:color w:val="000000"/>
          <w:kern w:val="2"/>
          <w:sz w:val="24"/>
          <w:szCs w:val="24"/>
          <w:lang w:val="en-US" w:eastAsia="zh-CN"/>
          <w14:ligatures w14:val="none"/>
        </w:rPr>
        <w:t xml:space="preserve">     </w:t>
      </w:r>
      <w:r>
        <w:rPr>
          <w:rFonts w:hint="eastAsia" w:asciiTheme="minorEastAsia" w:hAnsiTheme="minorEastAsia" w:eastAsiaTheme="minorEastAsia" w:cstheme="minorEastAsia"/>
          <w:snapToGrid/>
          <w:color w:val="000000"/>
          <w:kern w:val="2"/>
          <w:sz w:val="24"/>
          <w:szCs w:val="24"/>
          <w:lang w:eastAsia="zh-CN"/>
          <w14:ligatures w14:val="none"/>
        </w:rPr>
        <w:t>的《</w:t>
      </w:r>
      <w:r>
        <w:rPr>
          <w:rFonts w:hint="eastAsia" w:asciiTheme="minorEastAsia" w:hAnsiTheme="minorEastAsia" w:eastAsiaTheme="minorEastAsia" w:cstheme="minorEastAsia"/>
          <w:snapToGrid/>
          <w:color w:val="000000"/>
          <w:kern w:val="2"/>
          <w:sz w:val="24"/>
          <w:szCs w:val="24"/>
          <w:lang w:val="en-US" w:eastAsia="zh-CN"/>
          <w14:ligatures w14:val="none"/>
        </w:rPr>
        <w:t xml:space="preserve">     </w:t>
      </w:r>
      <w:r>
        <w:rPr>
          <w:rFonts w:hint="eastAsia" w:asciiTheme="minorEastAsia" w:hAnsiTheme="minorEastAsia" w:eastAsiaTheme="minorEastAsia" w:cstheme="minorEastAsia"/>
          <w:snapToGrid/>
          <w:color w:val="000000"/>
          <w:kern w:val="2"/>
          <w:sz w:val="24"/>
          <w:szCs w:val="24"/>
          <w:u w:val="none"/>
          <w:lang w:val="en-US" w:eastAsia="zh-CN"/>
          <w14:ligatures w14:val="none"/>
        </w:rPr>
        <w:t>合同</w:t>
      </w:r>
      <w:r>
        <w:rPr>
          <w:rFonts w:hint="eastAsia" w:asciiTheme="minorEastAsia" w:hAnsiTheme="minorEastAsia" w:eastAsiaTheme="minorEastAsia" w:cstheme="minorEastAsia"/>
          <w:snapToGrid/>
          <w:color w:val="000000"/>
          <w:kern w:val="2"/>
          <w:sz w:val="24"/>
          <w:szCs w:val="24"/>
          <w:lang w:eastAsia="zh-CN"/>
          <w14:ligatures w14:val="none"/>
        </w:rPr>
        <w:t>》（以下简称“原合同”），为加强双方阳光合作，保证双方员工职业安全，甲乙双方经协商一致签订《阳光合作协议》（以下简称“本协议”），以此作为双方共同遵守的阳光合作管理行为准则。</w:t>
      </w:r>
    </w:p>
    <w:p>
      <w:pPr>
        <w:pStyle w:val="5"/>
        <w:rPr>
          <w:rFonts w:hint="eastAsia" w:ascii="宋体" w:hAnsi="宋体" w:eastAsia="宋体" w:cs="宋体"/>
          <w:b/>
          <w:snapToGrid w:val="0"/>
          <w:color w:val="000000"/>
          <w:kern w:val="0"/>
          <w:sz w:val="24"/>
          <w:szCs w:val="24"/>
          <w:lang w:eastAsia="zh-CN"/>
          <w14:ligatures w14:val="none"/>
        </w:rPr>
      </w:pPr>
      <w:r>
        <w:rPr>
          <w:rFonts w:hint="eastAsia" w:ascii="宋体" w:hAnsi="宋体" w:eastAsia="宋体" w:cs="宋体"/>
          <w:b/>
          <w:snapToGrid w:val="0"/>
          <w:color w:val="000000"/>
          <w:kern w:val="0"/>
          <w:sz w:val="24"/>
          <w:szCs w:val="24"/>
          <w:lang w:eastAsia="zh-CN"/>
          <w14:ligatures w14:val="none"/>
        </w:rPr>
        <w:t>一、甲方声明</w:t>
      </w:r>
    </w:p>
    <w:p>
      <w:pPr>
        <w:widowControl w:val="0"/>
        <w:kinsoku/>
        <w:autoSpaceDE/>
        <w:autoSpaceDN/>
        <w:adjustRightInd/>
        <w:snapToGrid/>
        <w:spacing w:line="360" w:lineRule="auto"/>
        <w:ind w:firstLine="480" w:firstLineChars="200"/>
        <w:jc w:val="both"/>
        <w:textAlignment w:val="auto"/>
        <w:rPr>
          <w:rFonts w:hint="eastAsia" w:asciiTheme="minorEastAsia" w:hAnsiTheme="minorEastAsia" w:eastAsiaTheme="minorEastAsia" w:cstheme="minorEastAsia"/>
          <w:snapToGrid/>
          <w:color w:val="000000"/>
          <w:kern w:val="2"/>
          <w:sz w:val="24"/>
          <w:szCs w:val="24"/>
          <w:lang w:eastAsia="zh-CN"/>
          <w14:ligatures w14:val="none"/>
        </w:rPr>
      </w:pPr>
      <w:r>
        <w:rPr>
          <w:rFonts w:hint="eastAsia" w:asciiTheme="minorEastAsia" w:hAnsiTheme="minorEastAsia" w:eastAsiaTheme="minorEastAsia" w:cstheme="minorEastAsia"/>
          <w:snapToGrid/>
          <w:color w:val="000000"/>
          <w:kern w:val="2"/>
          <w:sz w:val="24"/>
          <w:szCs w:val="24"/>
          <w:lang w:eastAsia="zh-CN"/>
          <w14:ligatures w14:val="none"/>
        </w:rPr>
        <w:t>1．甲方珍视与乙方的合作，在合法、正当、互惠互利的商业原则下，甲方尊重乙方的合作利益。但甲方坚决反对任何单位或个人为从甲方谋取</w:t>
      </w:r>
      <w:r>
        <w:rPr>
          <w:rFonts w:hint="eastAsia" w:asciiTheme="minorEastAsia" w:hAnsiTheme="minorEastAsia" w:eastAsiaTheme="minorEastAsia" w:cstheme="minorEastAsia"/>
          <w:b w:val="0"/>
          <w:bCs w:val="0"/>
          <w:snapToGrid/>
          <w:color w:val="000000"/>
          <w:kern w:val="2"/>
          <w:sz w:val="24"/>
          <w:szCs w:val="24"/>
          <w:lang w:eastAsia="zh-CN"/>
          <w14:ligatures w14:val="none"/>
        </w:rPr>
        <w:t>利益而以不适当的手段</w:t>
      </w:r>
      <w:r>
        <w:rPr>
          <w:rFonts w:hint="eastAsia" w:asciiTheme="minorEastAsia" w:hAnsiTheme="minorEastAsia" w:eastAsiaTheme="minorEastAsia" w:cstheme="minorEastAsia"/>
          <w:snapToGrid/>
          <w:color w:val="000000"/>
          <w:kern w:val="2"/>
          <w:sz w:val="24"/>
          <w:szCs w:val="24"/>
          <w:lang w:eastAsia="zh-CN"/>
          <w14:ligatures w14:val="none"/>
        </w:rPr>
        <w:t>对甲方员工进行诱引或承诺，甲方将这类行为视之为不友好甚至恶意的行为。在双方合作期间，甲方对这类行为判断的标准，除适用法律、法规外，还将包括本协议。如果双方的商业关系是经由不适当的手段建立起来的，甲方保留终止合作并追索违约责任、经济损失的权利。</w:t>
      </w:r>
    </w:p>
    <w:p>
      <w:pPr>
        <w:widowControl w:val="0"/>
        <w:kinsoku/>
        <w:autoSpaceDE/>
        <w:autoSpaceDN/>
        <w:adjustRightInd/>
        <w:snapToGrid/>
        <w:spacing w:line="360" w:lineRule="auto"/>
        <w:ind w:firstLine="480" w:firstLineChars="200"/>
        <w:jc w:val="both"/>
        <w:textAlignment w:val="auto"/>
        <w:rPr>
          <w:rFonts w:hint="eastAsia" w:asciiTheme="minorEastAsia" w:hAnsiTheme="minorEastAsia" w:eastAsiaTheme="minorEastAsia" w:cstheme="minorEastAsia"/>
          <w:snapToGrid/>
          <w:color w:val="000000"/>
          <w:kern w:val="2"/>
          <w:sz w:val="24"/>
          <w:szCs w:val="24"/>
          <w:lang w:eastAsia="zh-CN"/>
          <w14:ligatures w14:val="none"/>
        </w:rPr>
      </w:pPr>
      <w:r>
        <w:rPr>
          <w:rFonts w:hint="eastAsia" w:asciiTheme="minorEastAsia" w:hAnsiTheme="minorEastAsia" w:eastAsiaTheme="minorEastAsia" w:cstheme="minorEastAsia"/>
          <w:snapToGrid/>
          <w:color w:val="000000"/>
          <w:kern w:val="2"/>
          <w:sz w:val="24"/>
          <w:szCs w:val="24"/>
          <w:lang w:eastAsia="zh-CN"/>
          <w14:ligatures w14:val="none"/>
        </w:rPr>
        <w:t>2．本协议是甲方站在维护甲方及合作方企业利益和员工保护的立场上为确保甲方兑现对股东和社会承诺而做出的规范性要求，以期与乙方共同遵守。</w:t>
      </w:r>
    </w:p>
    <w:p>
      <w:pPr>
        <w:pStyle w:val="5"/>
        <w:rPr>
          <w:rFonts w:hint="eastAsia" w:ascii="宋体" w:hAnsi="宋体" w:eastAsia="宋体" w:cs="宋体"/>
          <w:b/>
          <w:snapToGrid w:val="0"/>
          <w:color w:val="000000"/>
          <w:kern w:val="0"/>
          <w:sz w:val="24"/>
          <w:szCs w:val="24"/>
          <w:lang w:eastAsia="zh-CN"/>
          <w14:ligatures w14:val="none"/>
        </w:rPr>
      </w:pPr>
      <w:r>
        <w:rPr>
          <w:rFonts w:hint="eastAsia" w:ascii="宋体" w:hAnsi="宋体" w:eastAsia="宋体" w:cs="宋体"/>
          <w:b/>
          <w:snapToGrid w:val="0"/>
          <w:color w:val="000000"/>
          <w:kern w:val="0"/>
          <w:sz w:val="24"/>
          <w:szCs w:val="24"/>
          <w:lang w:eastAsia="zh-CN"/>
          <w14:ligatures w14:val="none"/>
        </w:rPr>
        <w:t>二、甲方义务及责任</w:t>
      </w:r>
    </w:p>
    <w:p>
      <w:pPr>
        <w:widowControl w:val="0"/>
        <w:kinsoku/>
        <w:autoSpaceDE/>
        <w:autoSpaceDN/>
        <w:adjustRightInd/>
        <w:snapToGrid/>
        <w:spacing w:line="360" w:lineRule="auto"/>
        <w:ind w:firstLine="480" w:firstLineChars="200"/>
        <w:jc w:val="both"/>
        <w:textAlignment w:val="auto"/>
        <w:rPr>
          <w:rFonts w:hint="eastAsia" w:asciiTheme="minorEastAsia" w:hAnsiTheme="minorEastAsia" w:eastAsiaTheme="minorEastAsia" w:cstheme="minorEastAsia"/>
          <w:snapToGrid/>
          <w:color w:val="000000"/>
          <w:kern w:val="2"/>
          <w:sz w:val="24"/>
          <w:szCs w:val="24"/>
          <w:lang w:eastAsia="zh-CN"/>
          <w14:ligatures w14:val="none"/>
        </w:rPr>
      </w:pPr>
      <w:r>
        <w:rPr>
          <w:rFonts w:hint="eastAsia" w:asciiTheme="minorEastAsia" w:hAnsiTheme="minorEastAsia" w:eastAsiaTheme="minorEastAsia" w:cstheme="minorEastAsia"/>
          <w:snapToGrid/>
          <w:color w:val="000000"/>
          <w:kern w:val="2"/>
          <w:sz w:val="24"/>
          <w:szCs w:val="24"/>
          <w:lang w:eastAsia="zh-CN"/>
          <w14:ligatures w14:val="none"/>
        </w:rPr>
        <w:t>1．甲方相关部门或承办人应向乙方介绍本单位有关采购管理、招投标管理、工程管理、工程结算等通用原则和企业内部要求。</w:t>
      </w:r>
    </w:p>
    <w:p>
      <w:pPr>
        <w:widowControl w:val="0"/>
        <w:kinsoku/>
        <w:autoSpaceDE/>
        <w:autoSpaceDN/>
        <w:adjustRightInd/>
        <w:snapToGrid/>
        <w:spacing w:line="360" w:lineRule="auto"/>
        <w:ind w:firstLine="480" w:firstLineChars="200"/>
        <w:jc w:val="both"/>
        <w:textAlignment w:val="auto"/>
        <w:rPr>
          <w:rFonts w:hint="eastAsia" w:asciiTheme="minorEastAsia" w:hAnsiTheme="minorEastAsia" w:eastAsiaTheme="minorEastAsia" w:cstheme="minorEastAsia"/>
          <w:snapToGrid/>
          <w:color w:val="000000"/>
          <w:kern w:val="2"/>
          <w:sz w:val="24"/>
          <w:szCs w:val="24"/>
          <w:lang w:eastAsia="zh-CN"/>
          <w14:ligatures w14:val="none"/>
        </w:rPr>
      </w:pPr>
      <w:r>
        <w:rPr>
          <w:rFonts w:hint="eastAsia" w:asciiTheme="minorEastAsia" w:hAnsiTheme="minorEastAsia" w:eastAsiaTheme="minorEastAsia" w:cstheme="minorEastAsia"/>
          <w:snapToGrid/>
          <w:color w:val="000000"/>
          <w:kern w:val="2"/>
          <w:sz w:val="24"/>
          <w:szCs w:val="24"/>
          <w:lang w:eastAsia="zh-CN"/>
          <w14:ligatures w14:val="none"/>
        </w:rPr>
        <w:t>2．甲方员工不得索要、接受乙方任何形式、与双方交易合作有关的回扣、明扣、暗扣、现金、佣金、好处费、信息费、不当馈赠、购物卡、有价证券、礼金、礼品或其它有价物品，不得参加乙方提供的旅游、娱乐、宴请招待、非合作业务的培训学习，不得索要、接受乙方为其住房装修、婚丧嫁娶、家属子女工作的安排，不得在乙方报销任何应由其个人支付的费用，不得对双方合作事项进行私下商谈或私下达成协议，或不得索要、接受其他可能影响职务公正履行的任何活动或服务（以下统称“非职务行为”）。</w:t>
      </w:r>
    </w:p>
    <w:p>
      <w:pPr>
        <w:widowControl w:val="0"/>
        <w:kinsoku/>
        <w:autoSpaceDE/>
        <w:autoSpaceDN/>
        <w:adjustRightInd/>
        <w:snapToGrid/>
        <w:spacing w:line="360" w:lineRule="auto"/>
        <w:ind w:firstLine="480" w:firstLineChars="200"/>
        <w:jc w:val="both"/>
        <w:textAlignment w:val="auto"/>
        <w:rPr>
          <w:rFonts w:hint="eastAsia" w:asciiTheme="minorEastAsia" w:hAnsiTheme="minorEastAsia" w:eastAsiaTheme="minorEastAsia" w:cstheme="minorEastAsia"/>
          <w:snapToGrid/>
          <w:color w:val="000000"/>
          <w:kern w:val="2"/>
          <w:sz w:val="24"/>
          <w:szCs w:val="24"/>
          <w:lang w:eastAsia="zh-CN"/>
          <w14:ligatures w14:val="none"/>
        </w:rPr>
      </w:pPr>
      <w:r>
        <w:rPr>
          <w:rFonts w:hint="eastAsia" w:asciiTheme="minorEastAsia" w:hAnsiTheme="minorEastAsia" w:eastAsiaTheme="minorEastAsia" w:cstheme="minorEastAsia"/>
          <w:snapToGrid/>
          <w:color w:val="000000"/>
          <w:kern w:val="2"/>
          <w:sz w:val="24"/>
          <w:szCs w:val="24"/>
          <w:lang w:eastAsia="zh-CN"/>
          <w14:ligatures w14:val="none"/>
        </w:rPr>
        <w:t>3．对于乙方举报甲方员工违反本协议的情况，甲方应及时进行调查，根据调查情况进行处理，并将处理结果向乙方反馈。</w:t>
      </w:r>
    </w:p>
    <w:p>
      <w:pPr>
        <w:widowControl w:val="0"/>
        <w:kinsoku/>
        <w:autoSpaceDE/>
        <w:autoSpaceDN/>
        <w:adjustRightInd/>
        <w:snapToGrid/>
        <w:spacing w:line="360" w:lineRule="auto"/>
        <w:ind w:firstLine="480" w:firstLineChars="200"/>
        <w:jc w:val="both"/>
        <w:textAlignment w:val="auto"/>
        <w:rPr>
          <w:rFonts w:hint="eastAsia" w:asciiTheme="minorEastAsia" w:hAnsiTheme="minorEastAsia" w:eastAsiaTheme="minorEastAsia" w:cstheme="minorEastAsia"/>
          <w:snapToGrid/>
          <w:color w:val="000000"/>
          <w:kern w:val="2"/>
          <w:sz w:val="24"/>
          <w:szCs w:val="24"/>
          <w:lang w:eastAsia="zh-CN"/>
          <w14:ligatures w14:val="none"/>
        </w:rPr>
      </w:pPr>
      <w:r>
        <w:rPr>
          <w:rFonts w:hint="eastAsia" w:asciiTheme="minorEastAsia" w:hAnsiTheme="minorEastAsia" w:eastAsiaTheme="minorEastAsia" w:cstheme="minorEastAsia"/>
          <w:snapToGrid/>
          <w:color w:val="000000"/>
          <w:kern w:val="2"/>
          <w:sz w:val="24"/>
          <w:szCs w:val="24"/>
          <w:lang w:eastAsia="zh-CN"/>
          <w14:ligatures w14:val="none"/>
        </w:rPr>
        <w:t>4．甲方将对举报方予以保密，并承诺对举报属实和严格遵守本协议的合作方，给予在同等条件下继续合作的优先权。</w:t>
      </w:r>
    </w:p>
    <w:p>
      <w:pPr>
        <w:widowControl w:val="0"/>
        <w:kinsoku/>
        <w:autoSpaceDE/>
        <w:autoSpaceDN/>
        <w:adjustRightInd/>
        <w:snapToGrid/>
        <w:spacing w:line="360" w:lineRule="auto"/>
        <w:ind w:firstLine="480" w:firstLineChars="200"/>
        <w:jc w:val="both"/>
        <w:textAlignment w:val="auto"/>
        <w:rPr>
          <w:rFonts w:hint="eastAsia" w:asciiTheme="minorEastAsia" w:hAnsiTheme="minorEastAsia" w:eastAsiaTheme="minorEastAsia" w:cstheme="minorEastAsia"/>
          <w:snapToGrid/>
          <w:color w:val="000000"/>
          <w:kern w:val="2"/>
          <w:sz w:val="24"/>
          <w:szCs w:val="24"/>
          <w:lang w:eastAsia="zh-CN"/>
          <w14:ligatures w14:val="none"/>
        </w:rPr>
      </w:pPr>
      <w:r>
        <w:rPr>
          <w:rFonts w:hint="eastAsia" w:asciiTheme="minorEastAsia" w:hAnsiTheme="minorEastAsia" w:eastAsiaTheme="minorEastAsia" w:cstheme="minorEastAsia"/>
          <w:snapToGrid/>
          <w:color w:val="000000"/>
          <w:kern w:val="2"/>
          <w:sz w:val="24"/>
          <w:szCs w:val="24"/>
          <w:lang w:eastAsia="zh-CN"/>
          <w14:ligatures w14:val="none"/>
        </w:rPr>
        <w:t>5．若甲方员工有任何形式的索要或接受任何单位、组织或个人的非职务行为，一旦获悉，甲方需进行调查核实。一经查实，甲方应根据其内部相关管理制度之规定进行处理，以维持廉洁、阳光的经营管理秩序。</w:t>
      </w:r>
    </w:p>
    <w:p>
      <w:pPr>
        <w:pStyle w:val="5"/>
        <w:rPr>
          <w:rFonts w:hint="eastAsia" w:ascii="宋体" w:hAnsi="宋体" w:eastAsia="宋体" w:cs="宋体"/>
          <w:b/>
          <w:snapToGrid w:val="0"/>
          <w:color w:val="000000"/>
          <w:kern w:val="0"/>
          <w:sz w:val="24"/>
          <w:szCs w:val="24"/>
          <w:lang w:eastAsia="zh-CN"/>
          <w14:ligatures w14:val="none"/>
        </w:rPr>
      </w:pPr>
      <w:bookmarkStart w:id="0" w:name="_Hlk61276328"/>
      <w:r>
        <w:rPr>
          <w:rFonts w:hint="eastAsia" w:ascii="宋体" w:hAnsi="宋体" w:eastAsia="宋体" w:cs="宋体"/>
          <w:b/>
          <w:snapToGrid w:val="0"/>
          <w:color w:val="000000"/>
          <w:kern w:val="0"/>
          <w:sz w:val="24"/>
          <w:szCs w:val="24"/>
          <w:lang w:eastAsia="zh-CN"/>
          <w14:ligatures w14:val="none"/>
        </w:rPr>
        <w:t>三、乙方义务及责任</w:t>
      </w:r>
      <w:bookmarkEnd w:id="0"/>
      <w:r>
        <w:rPr>
          <w:rFonts w:hint="eastAsia" w:ascii="宋体" w:hAnsi="宋体" w:eastAsia="宋体" w:cs="宋体"/>
          <w:b/>
          <w:snapToGrid w:val="0"/>
          <w:color w:val="000000"/>
          <w:kern w:val="0"/>
          <w:sz w:val="24"/>
          <w:szCs w:val="24"/>
          <w:lang w:eastAsia="zh-CN"/>
          <w14:ligatures w14:val="none"/>
        </w:rPr>
        <w:tab/>
      </w:r>
    </w:p>
    <w:p>
      <w:pPr>
        <w:widowControl w:val="0"/>
        <w:kinsoku/>
        <w:autoSpaceDE/>
        <w:autoSpaceDN/>
        <w:adjustRightInd/>
        <w:snapToGrid/>
        <w:spacing w:line="360" w:lineRule="auto"/>
        <w:ind w:firstLine="480" w:firstLineChars="200"/>
        <w:jc w:val="both"/>
        <w:textAlignment w:val="auto"/>
        <w:rPr>
          <w:rFonts w:hint="eastAsia" w:asciiTheme="minorEastAsia" w:hAnsiTheme="minorEastAsia" w:eastAsiaTheme="minorEastAsia" w:cstheme="minorEastAsia"/>
          <w:snapToGrid/>
          <w:color w:val="000000"/>
          <w:kern w:val="2"/>
          <w:sz w:val="24"/>
          <w:szCs w:val="24"/>
          <w:lang w:eastAsia="zh-CN"/>
          <w14:ligatures w14:val="none"/>
        </w:rPr>
      </w:pPr>
      <w:r>
        <w:rPr>
          <w:rFonts w:hint="eastAsia" w:asciiTheme="minorEastAsia" w:hAnsiTheme="minorEastAsia" w:eastAsiaTheme="minorEastAsia" w:cstheme="minorEastAsia"/>
          <w:snapToGrid/>
          <w:color w:val="000000"/>
          <w:kern w:val="2"/>
          <w:sz w:val="24"/>
          <w:szCs w:val="24"/>
          <w:lang w:eastAsia="zh-CN"/>
          <w14:ligatures w14:val="none"/>
        </w:rPr>
        <w:t>1．乙方应保证其员工了解甲方有关采购管理、招投标管理、工程管理、工程结算等通用原则及本协议的规定并遵照执行。</w:t>
      </w:r>
    </w:p>
    <w:p>
      <w:pPr>
        <w:widowControl w:val="0"/>
        <w:kinsoku/>
        <w:autoSpaceDE/>
        <w:autoSpaceDN/>
        <w:adjustRightInd/>
        <w:snapToGrid/>
        <w:spacing w:line="360" w:lineRule="auto"/>
        <w:ind w:firstLine="480" w:firstLineChars="200"/>
        <w:jc w:val="both"/>
        <w:textAlignment w:val="auto"/>
        <w:rPr>
          <w:rFonts w:hint="eastAsia" w:asciiTheme="minorEastAsia" w:hAnsiTheme="minorEastAsia" w:eastAsiaTheme="minorEastAsia" w:cstheme="minorEastAsia"/>
          <w:snapToGrid/>
          <w:color w:val="000000"/>
          <w:kern w:val="2"/>
          <w:sz w:val="24"/>
          <w:szCs w:val="24"/>
          <w:lang w:eastAsia="zh-CN"/>
          <w14:ligatures w14:val="none"/>
        </w:rPr>
      </w:pPr>
      <w:r>
        <w:rPr>
          <w:rFonts w:hint="eastAsia" w:asciiTheme="minorEastAsia" w:hAnsiTheme="minorEastAsia" w:eastAsiaTheme="minorEastAsia" w:cstheme="minorEastAsia"/>
          <w:snapToGrid/>
          <w:color w:val="000000"/>
          <w:kern w:val="2"/>
          <w:sz w:val="24"/>
          <w:szCs w:val="24"/>
          <w:lang w:eastAsia="zh-CN"/>
          <w14:ligatures w14:val="none"/>
        </w:rPr>
        <w:t>2．乙方及其员工不得以任何形式为商业合作之目的向甲方及其员工实施非职务行为或提供便利或诱引，同时，乙方及其员工亦不得以任何形式为商业合作之目的向任何第三方及该方员工实施非职务行为或提供便利或诱引。</w:t>
      </w:r>
    </w:p>
    <w:p>
      <w:pPr>
        <w:widowControl w:val="0"/>
        <w:kinsoku/>
        <w:autoSpaceDE/>
        <w:autoSpaceDN/>
        <w:adjustRightInd/>
        <w:snapToGrid/>
        <w:spacing w:line="360" w:lineRule="auto"/>
        <w:ind w:firstLine="480" w:firstLineChars="200"/>
        <w:jc w:val="both"/>
        <w:textAlignment w:val="auto"/>
        <w:rPr>
          <w:rFonts w:hint="eastAsia" w:asciiTheme="minorEastAsia" w:hAnsiTheme="minorEastAsia" w:eastAsiaTheme="minorEastAsia" w:cstheme="minorEastAsia"/>
          <w:snapToGrid/>
          <w:color w:val="000000"/>
          <w:kern w:val="2"/>
          <w:sz w:val="24"/>
          <w:szCs w:val="24"/>
          <w:lang w:eastAsia="zh-CN"/>
          <w14:ligatures w14:val="none"/>
        </w:rPr>
      </w:pPr>
      <w:r>
        <w:rPr>
          <w:rFonts w:hint="eastAsia" w:asciiTheme="minorEastAsia" w:hAnsiTheme="minorEastAsia" w:eastAsiaTheme="minorEastAsia" w:cstheme="minorEastAsia"/>
          <w:snapToGrid/>
          <w:color w:val="000000"/>
          <w:kern w:val="2"/>
          <w:sz w:val="24"/>
          <w:szCs w:val="24"/>
          <w:lang w:eastAsia="zh-CN"/>
          <w14:ligatures w14:val="none"/>
        </w:rPr>
        <w:t>3．在双方合作期间，乙方应接受甲方对乙方执行本协议情况的合理监督，并对甲方相关部门、人员的调查工作予以积极配合。</w:t>
      </w:r>
    </w:p>
    <w:p>
      <w:pPr>
        <w:widowControl w:val="0"/>
        <w:kinsoku/>
        <w:autoSpaceDE/>
        <w:autoSpaceDN/>
        <w:adjustRightInd/>
        <w:snapToGrid/>
        <w:spacing w:line="360" w:lineRule="auto"/>
        <w:ind w:firstLine="480" w:firstLineChars="200"/>
        <w:jc w:val="both"/>
        <w:textAlignment w:val="auto"/>
        <w:rPr>
          <w:rFonts w:hint="eastAsia" w:asciiTheme="minorEastAsia" w:hAnsiTheme="minorEastAsia" w:eastAsiaTheme="minorEastAsia" w:cstheme="minorEastAsia"/>
          <w:snapToGrid/>
          <w:color w:val="000000"/>
          <w:kern w:val="2"/>
          <w:sz w:val="24"/>
          <w:szCs w:val="24"/>
          <w:lang w:eastAsia="zh-CN"/>
          <w14:ligatures w14:val="none"/>
        </w:rPr>
      </w:pPr>
      <w:r>
        <w:rPr>
          <w:rFonts w:hint="eastAsia" w:asciiTheme="minorEastAsia" w:hAnsiTheme="minorEastAsia" w:eastAsiaTheme="minorEastAsia" w:cstheme="minorEastAsia"/>
          <w:snapToGrid/>
          <w:color w:val="000000"/>
          <w:kern w:val="2"/>
          <w:sz w:val="24"/>
          <w:szCs w:val="24"/>
          <w:lang w:eastAsia="zh-CN"/>
          <w14:ligatures w14:val="none"/>
        </w:rPr>
        <w:t>4．如果发现或知晓甲方员工有任何形式的索要或接受任何第三方及其员工的非职务行为，乙方有义务及时向甲方举报。</w:t>
      </w:r>
    </w:p>
    <w:p>
      <w:pPr>
        <w:pStyle w:val="5"/>
        <w:rPr>
          <w:rFonts w:hint="eastAsia" w:ascii="宋体" w:hAnsi="宋体" w:eastAsia="宋体" w:cs="宋体"/>
          <w:snapToGrid w:val="0"/>
          <w:color w:val="000000"/>
          <w:kern w:val="0"/>
          <w:sz w:val="24"/>
          <w:szCs w:val="24"/>
          <w:lang w:eastAsia="zh-CN"/>
          <w14:ligatures w14:val="none"/>
        </w:rPr>
      </w:pPr>
      <w:r>
        <w:rPr>
          <w:rFonts w:hint="eastAsia" w:ascii="宋体" w:hAnsi="宋体" w:eastAsia="宋体" w:cs="宋体"/>
          <w:snapToGrid w:val="0"/>
          <w:color w:val="000000"/>
          <w:kern w:val="0"/>
          <w:sz w:val="24"/>
          <w:szCs w:val="24"/>
          <w:lang w:eastAsia="zh-CN"/>
          <w14:ligatures w14:val="none"/>
        </w:rPr>
        <w:t>四、违约责任</w:t>
      </w:r>
    </w:p>
    <w:p>
      <w:pPr>
        <w:widowControl w:val="0"/>
        <w:kinsoku/>
        <w:autoSpaceDE/>
        <w:autoSpaceDN/>
        <w:adjustRightInd/>
        <w:snapToGrid/>
        <w:spacing w:line="360" w:lineRule="auto"/>
        <w:ind w:firstLine="480" w:firstLineChars="200"/>
        <w:jc w:val="both"/>
        <w:textAlignment w:val="auto"/>
        <w:rPr>
          <w:rFonts w:hint="eastAsia" w:asciiTheme="minorEastAsia" w:hAnsiTheme="minorEastAsia" w:eastAsiaTheme="minorEastAsia" w:cstheme="minorEastAsia"/>
          <w:snapToGrid/>
          <w:color w:val="000000"/>
          <w:kern w:val="2"/>
          <w:sz w:val="24"/>
          <w:szCs w:val="24"/>
          <w:lang w:eastAsia="zh-CN"/>
          <w14:ligatures w14:val="none"/>
        </w:rPr>
      </w:pPr>
      <w:r>
        <w:rPr>
          <w:rFonts w:hint="eastAsia" w:asciiTheme="minorEastAsia" w:hAnsiTheme="minorEastAsia" w:eastAsiaTheme="minorEastAsia" w:cstheme="minorEastAsia"/>
          <w:snapToGrid/>
          <w:color w:val="000000"/>
          <w:kern w:val="2"/>
          <w:sz w:val="24"/>
          <w:szCs w:val="24"/>
          <w:lang w:eastAsia="zh-CN"/>
          <w14:ligatures w14:val="none"/>
        </w:rPr>
        <w:t>1．若乙方或其员工违反本协议任一规定，或实施任一非职务行为的，甲方一经查实，甲方有权解除与乙方的一切合作合同（含原合同、甲乙双方的其他合同、乙方与甲方关联公司之间的合作合同），将乙方列入黑名单，五年之内不与其合作，并有权要求乙方按以下约定承担违约责任：</w:t>
      </w:r>
    </w:p>
    <w:p>
      <w:pPr>
        <w:widowControl w:val="0"/>
        <w:kinsoku/>
        <w:autoSpaceDE/>
        <w:autoSpaceDN/>
        <w:adjustRightInd/>
        <w:snapToGrid/>
        <w:spacing w:line="360" w:lineRule="auto"/>
        <w:ind w:firstLine="480" w:firstLineChars="200"/>
        <w:jc w:val="both"/>
        <w:textAlignment w:val="auto"/>
        <w:rPr>
          <w:rFonts w:hint="eastAsia" w:asciiTheme="minorEastAsia" w:hAnsiTheme="minorEastAsia" w:eastAsiaTheme="minorEastAsia" w:cstheme="minorEastAsia"/>
          <w:snapToGrid/>
          <w:color w:val="000000"/>
          <w:kern w:val="2"/>
          <w:sz w:val="24"/>
          <w:szCs w:val="24"/>
          <w:lang w:eastAsia="zh-CN"/>
          <w14:ligatures w14:val="none"/>
        </w:rPr>
      </w:pPr>
      <w:r>
        <w:rPr>
          <w:rFonts w:hint="eastAsia" w:asciiTheme="minorEastAsia" w:hAnsiTheme="minorEastAsia" w:eastAsiaTheme="minorEastAsia" w:cstheme="minorEastAsia"/>
          <w:snapToGrid/>
          <w:color w:val="000000"/>
          <w:kern w:val="2"/>
          <w:sz w:val="24"/>
          <w:szCs w:val="24"/>
          <w:lang w:eastAsia="zh-CN"/>
          <w14:ligatures w14:val="none"/>
        </w:rPr>
        <w:t>（1）相关人员非职务行为涉及金额或等值金额低于1万元的，乙方应按原合同金额的10%向甲方支付违约金（若原合同为长期合作的采购类业务，按月平均采购数额及原合同期限计算原合同总金额，下同），但最低应为涉及金额或等值金额的5倍。</w:t>
      </w:r>
    </w:p>
    <w:p>
      <w:pPr>
        <w:widowControl w:val="0"/>
        <w:kinsoku/>
        <w:autoSpaceDE/>
        <w:autoSpaceDN/>
        <w:adjustRightInd/>
        <w:snapToGrid/>
        <w:spacing w:line="360" w:lineRule="auto"/>
        <w:ind w:firstLine="480" w:firstLineChars="200"/>
        <w:jc w:val="both"/>
        <w:textAlignment w:val="auto"/>
        <w:rPr>
          <w:rFonts w:hint="eastAsia" w:asciiTheme="minorEastAsia" w:hAnsiTheme="minorEastAsia" w:eastAsiaTheme="minorEastAsia" w:cstheme="minorEastAsia"/>
          <w:snapToGrid/>
          <w:color w:val="000000"/>
          <w:kern w:val="2"/>
          <w:sz w:val="24"/>
          <w:szCs w:val="24"/>
          <w:lang w:eastAsia="zh-CN"/>
          <w14:ligatures w14:val="none"/>
        </w:rPr>
      </w:pPr>
      <w:r>
        <w:rPr>
          <w:rFonts w:hint="eastAsia" w:asciiTheme="minorEastAsia" w:hAnsiTheme="minorEastAsia" w:eastAsiaTheme="minorEastAsia" w:cstheme="minorEastAsia"/>
          <w:snapToGrid/>
          <w:color w:val="000000"/>
          <w:kern w:val="2"/>
          <w:sz w:val="24"/>
          <w:szCs w:val="24"/>
          <w:lang w:eastAsia="zh-CN"/>
          <w14:ligatures w14:val="none"/>
        </w:rPr>
        <w:t>（2）相关人员非职务行为涉及的金额或等值金额达1万元及以上的，视为情节严重，乙方应按原合同金额的20%向甲方支付违约金，但最低应为涉及金额或等值金额的10倍。</w:t>
      </w:r>
    </w:p>
    <w:p>
      <w:pPr>
        <w:widowControl w:val="0"/>
        <w:kinsoku/>
        <w:autoSpaceDE/>
        <w:autoSpaceDN/>
        <w:adjustRightInd/>
        <w:snapToGrid/>
        <w:spacing w:line="360" w:lineRule="auto"/>
        <w:ind w:firstLine="480" w:firstLineChars="200"/>
        <w:jc w:val="both"/>
        <w:textAlignment w:val="auto"/>
        <w:rPr>
          <w:rFonts w:hint="eastAsia" w:asciiTheme="minorEastAsia" w:hAnsiTheme="minorEastAsia" w:eastAsiaTheme="minorEastAsia" w:cstheme="minorEastAsia"/>
          <w:snapToGrid/>
          <w:color w:val="000000"/>
          <w:kern w:val="2"/>
          <w:sz w:val="24"/>
          <w:szCs w:val="24"/>
          <w:lang w:eastAsia="zh-CN"/>
          <w14:ligatures w14:val="none"/>
        </w:rPr>
      </w:pPr>
      <w:r>
        <w:rPr>
          <w:rFonts w:hint="eastAsia" w:asciiTheme="minorEastAsia" w:hAnsiTheme="minorEastAsia" w:eastAsiaTheme="minorEastAsia" w:cstheme="minorEastAsia"/>
          <w:snapToGrid/>
          <w:color w:val="000000"/>
          <w:kern w:val="2"/>
          <w:sz w:val="24"/>
          <w:szCs w:val="24"/>
          <w:lang w:eastAsia="zh-CN"/>
          <w14:ligatures w14:val="none"/>
        </w:rPr>
        <w:t>注：若甲方未选择解除合同的，不影响甲方要求乙方按上述约定承担违约责任的权利。</w:t>
      </w:r>
    </w:p>
    <w:p>
      <w:pPr>
        <w:widowControl w:val="0"/>
        <w:kinsoku/>
        <w:autoSpaceDE/>
        <w:autoSpaceDN/>
        <w:adjustRightInd/>
        <w:snapToGrid/>
        <w:spacing w:line="360" w:lineRule="auto"/>
        <w:ind w:firstLine="480" w:firstLineChars="200"/>
        <w:jc w:val="both"/>
        <w:textAlignment w:val="auto"/>
        <w:rPr>
          <w:rFonts w:hint="eastAsia" w:asciiTheme="minorEastAsia" w:hAnsiTheme="minorEastAsia" w:eastAsiaTheme="minorEastAsia" w:cstheme="minorEastAsia"/>
          <w:snapToGrid/>
          <w:color w:val="000000"/>
          <w:kern w:val="2"/>
          <w:sz w:val="24"/>
          <w:szCs w:val="24"/>
          <w:lang w:eastAsia="zh-CN"/>
          <w14:ligatures w14:val="none"/>
        </w:rPr>
      </w:pPr>
      <w:r>
        <w:rPr>
          <w:rFonts w:hint="eastAsia" w:asciiTheme="minorEastAsia" w:hAnsiTheme="minorEastAsia" w:eastAsiaTheme="minorEastAsia" w:cstheme="minorEastAsia"/>
          <w:snapToGrid/>
          <w:color w:val="000000"/>
          <w:kern w:val="2"/>
          <w:sz w:val="24"/>
          <w:szCs w:val="24"/>
          <w:lang w:eastAsia="zh-CN"/>
          <w14:ligatures w14:val="none"/>
        </w:rPr>
        <w:t>2.若上述违约金不足弥补损失的，乙方应赔偿甲方因此遭受的损失，赔偿范围同原合同的相关约定。</w:t>
      </w:r>
    </w:p>
    <w:p>
      <w:pPr>
        <w:widowControl w:val="0"/>
        <w:kinsoku/>
        <w:autoSpaceDE/>
        <w:autoSpaceDN/>
        <w:adjustRightInd/>
        <w:snapToGrid/>
        <w:spacing w:line="360" w:lineRule="auto"/>
        <w:ind w:firstLine="480" w:firstLineChars="200"/>
        <w:jc w:val="both"/>
        <w:textAlignment w:val="auto"/>
        <w:rPr>
          <w:rFonts w:hint="eastAsia" w:asciiTheme="minorEastAsia" w:hAnsiTheme="minorEastAsia" w:eastAsiaTheme="minorEastAsia" w:cstheme="minorEastAsia"/>
          <w:snapToGrid/>
          <w:color w:val="000000"/>
          <w:kern w:val="2"/>
          <w:sz w:val="24"/>
          <w:szCs w:val="24"/>
          <w:lang w:eastAsia="zh-CN"/>
          <w14:ligatures w14:val="none"/>
        </w:rPr>
      </w:pPr>
      <w:r>
        <w:rPr>
          <w:rFonts w:hint="eastAsia" w:asciiTheme="minorEastAsia" w:hAnsiTheme="minorEastAsia" w:eastAsiaTheme="minorEastAsia" w:cstheme="minorEastAsia"/>
          <w:snapToGrid/>
          <w:color w:val="000000"/>
          <w:kern w:val="2"/>
          <w:sz w:val="24"/>
          <w:szCs w:val="24"/>
          <w:lang w:eastAsia="zh-CN"/>
          <w14:ligatures w14:val="none"/>
        </w:rPr>
        <w:t>3.乙方同意，甲方有权在乙方向甲方缴纳的履约保证金、质量保证金等各项保证金及工程款、货款等甲方应付未付费用中扣除违约金及赔偿金。</w:t>
      </w:r>
    </w:p>
    <w:p>
      <w:pPr>
        <w:widowControl w:val="0"/>
        <w:kinsoku/>
        <w:autoSpaceDE/>
        <w:autoSpaceDN/>
        <w:adjustRightInd/>
        <w:snapToGrid/>
        <w:spacing w:line="360" w:lineRule="auto"/>
        <w:ind w:firstLine="480" w:firstLineChars="200"/>
        <w:jc w:val="both"/>
        <w:textAlignment w:val="auto"/>
        <w:rPr>
          <w:rFonts w:hint="eastAsia" w:asciiTheme="minorEastAsia" w:hAnsiTheme="minorEastAsia" w:eastAsiaTheme="minorEastAsia" w:cstheme="minorEastAsia"/>
          <w:snapToGrid/>
          <w:color w:val="000000"/>
          <w:kern w:val="2"/>
          <w:sz w:val="24"/>
          <w:szCs w:val="24"/>
          <w:lang w:eastAsia="zh-CN"/>
          <w14:ligatures w14:val="none"/>
        </w:rPr>
      </w:pPr>
      <w:r>
        <w:rPr>
          <w:rFonts w:hint="eastAsia" w:asciiTheme="minorEastAsia" w:hAnsiTheme="minorEastAsia" w:eastAsiaTheme="minorEastAsia" w:cstheme="minorEastAsia"/>
          <w:snapToGrid/>
          <w:color w:val="000000"/>
          <w:kern w:val="2"/>
          <w:sz w:val="24"/>
          <w:szCs w:val="24"/>
          <w:lang w:eastAsia="zh-CN"/>
          <w14:ligatures w14:val="none"/>
        </w:rPr>
        <w:t>4．甲方认为必要时，有权将相关信息及涉案人员移交公安机关立案处理，乙方应予配合。</w:t>
      </w:r>
    </w:p>
    <w:p>
      <w:pPr>
        <w:widowControl w:val="0"/>
        <w:kinsoku/>
        <w:autoSpaceDE/>
        <w:autoSpaceDN/>
        <w:adjustRightInd/>
        <w:snapToGrid/>
        <w:spacing w:line="360" w:lineRule="auto"/>
        <w:ind w:firstLine="471" w:firstLineChars="196"/>
        <w:jc w:val="both"/>
        <w:textAlignment w:val="auto"/>
        <w:rPr>
          <w:rFonts w:hint="eastAsia" w:asciiTheme="minorEastAsia" w:hAnsiTheme="minorEastAsia" w:eastAsiaTheme="minorEastAsia" w:cstheme="minorEastAsia"/>
          <w:snapToGrid/>
          <w:color w:val="000000"/>
          <w:kern w:val="2"/>
          <w:sz w:val="24"/>
          <w:szCs w:val="24"/>
          <w:lang w:eastAsia="zh-CN"/>
          <w14:ligatures w14:val="none"/>
        </w:rPr>
      </w:pPr>
      <w:r>
        <w:rPr>
          <w:rFonts w:hint="eastAsia" w:asciiTheme="minorEastAsia" w:hAnsiTheme="minorEastAsia" w:eastAsiaTheme="minorEastAsia" w:cstheme="minorEastAsia"/>
          <w:b/>
          <w:snapToGrid/>
          <w:color w:val="000000"/>
          <w:kern w:val="2"/>
          <w:sz w:val="24"/>
          <w:szCs w:val="24"/>
          <w:lang w:eastAsia="zh-CN"/>
          <w14:ligatures w14:val="none"/>
        </w:rPr>
        <w:t>五、甲方接受实名或匿名举报的</w:t>
      </w:r>
      <w:r>
        <w:rPr>
          <w:rFonts w:hint="eastAsia" w:asciiTheme="minorEastAsia" w:hAnsiTheme="minorEastAsia" w:eastAsiaTheme="minorEastAsia" w:cstheme="minorEastAsia"/>
          <w:b/>
          <w:snapToGrid/>
          <w:color w:val="000000"/>
          <w:kern w:val="2"/>
          <w:sz w:val="24"/>
          <w:szCs w:val="24"/>
          <w:lang w:eastAsia="zh-Hans"/>
          <w14:ligatures w14:val="none"/>
        </w:rPr>
        <w:t>联系人</w:t>
      </w:r>
      <w:r>
        <w:rPr>
          <w:rFonts w:hint="eastAsia" w:asciiTheme="minorEastAsia" w:hAnsiTheme="minorEastAsia" w:eastAsiaTheme="minorEastAsia" w:cstheme="minorEastAsia"/>
          <w:b/>
          <w:snapToGrid/>
          <w:color w:val="000000"/>
          <w:kern w:val="2"/>
          <w:sz w:val="24"/>
          <w:szCs w:val="24"/>
          <w:lang w:eastAsia="zh-CN"/>
          <w14:ligatures w14:val="none"/>
        </w:rPr>
        <w:t>及联系方式</w:t>
      </w:r>
    </w:p>
    <w:p>
      <w:pPr>
        <w:widowControl w:val="0"/>
        <w:kinsoku/>
        <w:autoSpaceDE/>
        <w:autoSpaceDN/>
        <w:adjustRightInd/>
        <w:snapToGrid/>
        <w:spacing w:line="360" w:lineRule="auto"/>
        <w:ind w:firstLine="480" w:firstLineChars="200"/>
        <w:jc w:val="both"/>
        <w:textAlignment w:val="auto"/>
        <w:rPr>
          <w:rFonts w:hint="eastAsia" w:asciiTheme="minorEastAsia" w:hAnsiTheme="minorEastAsia" w:eastAsiaTheme="minorEastAsia" w:cstheme="minorEastAsia"/>
          <w:snapToGrid/>
          <w:color w:val="000000"/>
          <w:kern w:val="2"/>
          <w:sz w:val="24"/>
          <w:szCs w:val="24"/>
          <w:lang w:eastAsia="zh-CN"/>
          <w14:ligatures w14:val="none"/>
        </w:rPr>
      </w:pPr>
      <w:r>
        <w:rPr>
          <w:rFonts w:hint="eastAsia" w:asciiTheme="minorEastAsia" w:hAnsiTheme="minorEastAsia" w:eastAsiaTheme="minorEastAsia" w:cstheme="minorEastAsia"/>
          <w:snapToGrid/>
          <w:color w:val="000000"/>
          <w:kern w:val="2"/>
          <w:sz w:val="24"/>
          <w:szCs w:val="24"/>
          <w:lang w:eastAsia="zh-Hans"/>
          <w14:ligatures w14:val="none"/>
        </w:rPr>
        <w:t>联系人</w:t>
      </w:r>
      <w:r>
        <w:rPr>
          <w:rFonts w:hint="eastAsia" w:asciiTheme="minorEastAsia" w:hAnsiTheme="minorEastAsia" w:eastAsiaTheme="minorEastAsia" w:cstheme="minorEastAsia"/>
          <w:snapToGrid/>
          <w:color w:val="000000"/>
          <w:kern w:val="2"/>
          <w:sz w:val="24"/>
          <w:szCs w:val="24"/>
          <w:lang w:eastAsia="zh-CN"/>
          <w14:ligatures w14:val="none"/>
        </w:rPr>
        <w:t>：</w:t>
      </w:r>
      <w:r>
        <w:rPr>
          <w:rFonts w:hint="eastAsia" w:asciiTheme="minorEastAsia" w:hAnsiTheme="minorEastAsia" w:eastAsiaTheme="minorEastAsia" w:cstheme="minorEastAsia"/>
          <w:snapToGrid/>
          <w:color w:val="000000"/>
          <w:kern w:val="2"/>
          <w:sz w:val="24"/>
          <w:szCs w:val="24"/>
          <w:lang w:eastAsia="zh-Hans"/>
          <w14:ligatures w14:val="none"/>
        </w:rPr>
        <w:t>陈龙</w:t>
      </w:r>
    </w:p>
    <w:p>
      <w:pPr>
        <w:widowControl w:val="0"/>
        <w:kinsoku/>
        <w:autoSpaceDE/>
        <w:autoSpaceDN/>
        <w:adjustRightInd/>
        <w:snapToGrid/>
        <w:spacing w:line="360" w:lineRule="auto"/>
        <w:ind w:firstLine="480" w:firstLineChars="200"/>
        <w:jc w:val="both"/>
        <w:textAlignment w:val="auto"/>
        <w:rPr>
          <w:rFonts w:hint="eastAsia" w:asciiTheme="minorEastAsia" w:hAnsiTheme="minorEastAsia" w:eastAsiaTheme="minorEastAsia" w:cstheme="minorEastAsia"/>
          <w:snapToGrid/>
          <w:color w:val="000000"/>
          <w:kern w:val="2"/>
          <w:sz w:val="24"/>
          <w:szCs w:val="24"/>
          <w:lang w:eastAsia="zh-CN"/>
          <w14:ligatures w14:val="none"/>
        </w:rPr>
      </w:pPr>
      <w:r>
        <w:rPr>
          <w:rFonts w:hint="eastAsia" w:asciiTheme="minorEastAsia" w:hAnsiTheme="minorEastAsia" w:eastAsiaTheme="minorEastAsia" w:cstheme="minorEastAsia"/>
          <w:snapToGrid/>
          <w:color w:val="000000"/>
          <w:kern w:val="2"/>
          <w:sz w:val="24"/>
          <w:szCs w:val="24"/>
          <w:lang w:eastAsia="zh-CN"/>
          <w14:ligatures w14:val="none"/>
        </w:rPr>
        <w:t>举报电话：18381099540</w:t>
      </w:r>
    </w:p>
    <w:p>
      <w:pPr>
        <w:widowControl w:val="0"/>
        <w:kinsoku/>
        <w:autoSpaceDE/>
        <w:autoSpaceDN/>
        <w:adjustRightInd/>
        <w:snapToGrid/>
        <w:spacing w:line="360" w:lineRule="auto"/>
        <w:ind w:firstLine="480" w:firstLineChars="200"/>
        <w:jc w:val="both"/>
        <w:textAlignment w:val="auto"/>
        <w:rPr>
          <w:rFonts w:hint="eastAsia" w:asciiTheme="minorEastAsia" w:hAnsiTheme="minorEastAsia" w:eastAsiaTheme="minorEastAsia" w:cstheme="minorEastAsia"/>
          <w:snapToGrid/>
          <w:color w:val="000000"/>
          <w:kern w:val="2"/>
          <w:sz w:val="24"/>
          <w:szCs w:val="24"/>
          <w:lang w:eastAsia="zh-CN"/>
          <w14:ligatures w14:val="none"/>
        </w:rPr>
      </w:pPr>
      <w:r>
        <w:rPr>
          <w:rFonts w:hint="eastAsia" w:asciiTheme="minorEastAsia" w:hAnsiTheme="minorEastAsia" w:eastAsiaTheme="minorEastAsia" w:cstheme="minorEastAsia"/>
          <w:snapToGrid/>
          <w:color w:val="000000"/>
          <w:kern w:val="2"/>
          <w:sz w:val="24"/>
          <w:szCs w:val="24"/>
          <w:lang w:eastAsia="zh-CN"/>
          <w14:ligatures w14:val="none"/>
        </w:rPr>
        <w:t>举报邮箱：chenlong@newhope.cn</w:t>
      </w:r>
    </w:p>
    <w:p>
      <w:pPr>
        <w:widowControl w:val="0"/>
        <w:kinsoku/>
        <w:autoSpaceDE/>
        <w:autoSpaceDN/>
        <w:adjustRightInd/>
        <w:snapToGrid/>
        <w:spacing w:line="360" w:lineRule="auto"/>
        <w:ind w:firstLine="480" w:firstLineChars="200"/>
        <w:jc w:val="both"/>
        <w:textAlignment w:val="auto"/>
        <w:rPr>
          <w:rFonts w:hint="eastAsia" w:asciiTheme="minorEastAsia" w:hAnsiTheme="minorEastAsia" w:eastAsiaTheme="minorEastAsia" w:cstheme="minorEastAsia"/>
          <w:snapToGrid/>
          <w:color w:val="000000"/>
          <w:kern w:val="2"/>
          <w:sz w:val="24"/>
          <w:szCs w:val="24"/>
          <w:lang w:eastAsia="zh-CN"/>
          <w14:ligatures w14:val="none"/>
        </w:rPr>
      </w:pPr>
      <w:r>
        <w:rPr>
          <w:rFonts w:hint="eastAsia" w:asciiTheme="minorEastAsia" w:hAnsiTheme="minorEastAsia" w:eastAsiaTheme="minorEastAsia" w:cstheme="minorEastAsia"/>
          <w:snapToGrid/>
          <w:color w:val="000000"/>
          <w:kern w:val="2"/>
          <w:sz w:val="24"/>
          <w:szCs w:val="24"/>
          <w:lang w:eastAsia="zh-CN"/>
          <w14:ligatures w14:val="none"/>
        </w:rPr>
        <w:t>联系地址：四川省成都市锦江区三色路209号火炬动力港B区7栋</w:t>
      </w:r>
    </w:p>
    <w:p>
      <w:pPr>
        <w:widowControl w:val="0"/>
        <w:kinsoku/>
        <w:autoSpaceDE/>
        <w:autoSpaceDN/>
        <w:adjustRightInd/>
        <w:snapToGrid/>
        <w:spacing w:line="360" w:lineRule="auto"/>
        <w:ind w:firstLine="480" w:firstLineChars="200"/>
        <w:jc w:val="both"/>
        <w:textAlignment w:val="auto"/>
        <w:rPr>
          <w:rFonts w:hint="eastAsia" w:asciiTheme="minorEastAsia" w:hAnsiTheme="minorEastAsia" w:eastAsiaTheme="minorEastAsia" w:cstheme="minorEastAsia"/>
          <w:snapToGrid/>
          <w:color w:val="000000"/>
          <w:kern w:val="2"/>
          <w:sz w:val="24"/>
          <w:szCs w:val="24"/>
          <w:lang w:eastAsia="zh-CN"/>
          <w14:ligatures w14:val="none"/>
        </w:rPr>
      </w:pPr>
      <w:r>
        <w:rPr>
          <w:rFonts w:hint="eastAsia" w:asciiTheme="minorEastAsia" w:hAnsiTheme="minorEastAsia" w:eastAsiaTheme="minorEastAsia" w:cstheme="minorEastAsia"/>
          <w:snapToGrid/>
          <w:color w:val="000000"/>
          <w:kern w:val="2"/>
          <w:sz w:val="24"/>
          <w:szCs w:val="24"/>
          <w:lang w:eastAsia="zh-CN"/>
          <w14:ligatures w14:val="none"/>
        </w:rPr>
        <w:t>1．本协议经双方盖章后生效。</w:t>
      </w:r>
    </w:p>
    <w:p>
      <w:pPr>
        <w:widowControl w:val="0"/>
        <w:kinsoku/>
        <w:autoSpaceDE/>
        <w:autoSpaceDN/>
        <w:adjustRightInd/>
        <w:snapToGrid/>
        <w:spacing w:line="360" w:lineRule="auto"/>
        <w:ind w:firstLine="480" w:firstLineChars="200"/>
        <w:jc w:val="both"/>
        <w:textAlignment w:val="auto"/>
        <w:rPr>
          <w:rFonts w:hint="eastAsia" w:asciiTheme="minorEastAsia" w:hAnsiTheme="minorEastAsia" w:eastAsiaTheme="minorEastAsia" w:cstheme="minorEastAsia"/>
          <w:snapToGrid/>
          <w:color w:val="000000"/>
          <w:kern w:val="2"/>
          <w:sz w:val="24"/>
          <w:szCs w:val="24"/>
          <w:lang w:eastAsia="zh-CN"/>
          <w14:ligatures w14:val="none"/>
        </w:rPr>
      </w:pPr>
      <w:r>
        <w:rPr>
          <w:rFonts w:hint="eastAsia" w:asciiTheme="minorEastAsia" w:hAnsiTheme="minorEastAsia" w:eastAsiaTheme="minorEastAsia" w:cstheme="minorEastAsia"/>
          <w:snapToGrid/>
          <w:color w:val="000000"/>
          <w:kern w:val="2"/>
          <w:sz w:val="24"/>
          <w:szCs w:val="24"/>
          <w:lang w:eastAsia="zh-CN"/>
          <w14:ligatures w14:val="none"/>
        </w:rPr>
        <w:t>2．本协议是原合同的补充协议，与原合同具有同等法律效力。如有冲突，以本协议约定为准。</w:t>
      </w:r>
    </w:p>
    <w:p>
      <w:pPr>
        <w:widowControl w:val="0"/>
        <w:kinsoku/>
        <w:autoSpaceDE/>
        <w:autoSpaceDN/>
        <w:adjustRightInd/>
        <w:snapToGrid/>
        <w:spacing w:line="360" w:lineRule="auto"/>
        <w:ind w:firstLine="480" w:firstLineChars="200"/>
        <w:jc w:val="both"/>
        <w:textAlignment w:val="auto"/>
        <w:rPr>
          <w:rFonts w:hint="eastAsia" w:asciiTheme="minorEastAsia" w:hAnsiTheme="minorEastAsia" w:eastAsiaTheme="minorEastAsia" w:cstheme="minorEastAsia"/>
          <w:snapToGrid/>
          <w:color w:val="000000"/>
          <w:kern w:val="2"/>
          <w:sz w:val="24"/>
          <w:szCs w:val="24"/>
          <w:lang w:eastAsia="zh-CN"/>
          <w14:ligatures w14:val="none"/>
        </w:rPr>
      </w:pPr>
    </w:p>
    <w:tbl>
      <w:tblPr>
        <w:tblStyle w:val="13"/>
        <w:tblW w:w="4632" w:type="pct"/>
        <w:tblInd w:w="4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50"/>
        <w:gridCol w:w="1486"/>
        <w:gridCol w:w="1848"/>
        <w:gridCol w:w="1542"/>
        <w:gridCol w:w="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trPr>
        <w:tc>
          <w:tcPr>
            <w:tcW w:w="1361" w:type="pct"/>
            <w:vAlign w:val="center"/>
          </w:tcPr>
          <w:p>
            <w:pPr>
              <w:widowControl w:val="0"/>
              <w:spacing w:line="360" w:lineRule="auto"/>
              <w:ind w:firstLine="0" w:firstLineChars="0"/>
              <w:jc w:val="both"/>
              <w:rPr>
                <w:rFonts w:hint="eastAsia" w:asciiTheme="minorEastAsia" w:hAnsiTheme="minorEastAsia" w:eastAsiaTheme="minorEastAsia" w:cstheme="minorEastAsia"/>
                <w:color w:val="000000"/>
                <w:kern w:val="2"/>
                <w:sz w:val="24"/>
                <w:szCs w:val="24"/>
                <w:lang w:val="en-US" w:eastAsia="zh-CN" w:bidi="ar-SA"/>
                <w14:ligatures w14:val="none"/>
              </w:rPr>
            </w:pPr>
            <w:r>
              <w:rPr>
                <w:rFonts w:hint="eastAsia" w:asciiTheme="minorEastAsia" w:hAnsiTheme="minorEastAsia" w:eastAsiaTheme="minorEastAsia" w:cstheme="minorEastAsia"/>
                <w:color w:val="000000"/>
                <w:kern w:val="2"/>
                <w:sz w:val="24"/>
                <w:szCs w:val="24"/>
                <w:lang w:val="en-US" w:eastAsia="zh-CN" w:bidi="ar-SA"/>
                <w14:ligatures w14:val="none"/>
              </w:rPr>
              <w:t>甲方（盖章）：</w:t>
            </w:r>
          </w:p>
        </w:tc>
        <w:tc>
          <w:tcPr>
            <w:tcW w:w="940" w:type="pct"/>
            <w:vAlign w:val="center"/>
          </w:tcPr>
          <w:p>
            <w:pPr>
              <w:widowControl w:val="0"/>
              <w:spacing w:line="360" w:lineRule="auto"/>
              <w:ind w:firstLine="0" w:firstLineChars="0"/>
              <w:jc w:val="center"/>
              <w:rPr>
                <w:rFonts w:hint="eastAsia" w:asciiTheme="minorEastAsia" w:hAnsiTheme="minorEastAsia" w:eastAsiaTheme="minorEastAsia" w:cstheme="minorEastAsia"/>
                <w:color w:val="000000"/>
                <w:kern w:val="2"/>
                <w:sz w:val="24"/>
                <w:szCs w:val="24"/>
                <w:lang w:val="en-US" w:eastAsia="zh-CN" w:bidi="ar-SA"/>
                <w14:ligatures w14:val="none"/>
              </w:rPr>
            </w:pPr>
          </w:p>
        </w:tc>
        <w:tc>
          <w:tcPr>
            <w:tcW w:w="1170" w:type="pct"/>
            <w:vAlign w:val="center"/>
          </w:tcPr>
          <w:p>
            <w:pPr>
              <w:widowControl w:val="0"/>
              <w:spacing w:line="360" w:lineRule="auto"/>
              <w:jc w:val="both"/>
              <w:rPr>
                <w:rFonts w:hint="eastAsia" w:asciiTheme="minorEastAsia" w:hAnsiTheme="minorEastAsia" w:eastAsiaTheme="minorEastAsia" w:cstheme="minorEastAsia"/>
                <w:color w:val="000000"/>
                <w:kern w:val="2"/>
                <w:sz w:val="24"/>
                <w:szCs w:val="24"/>
                <w:lang w:val="en-US" w:eastAsia="zh-CN" w:bidi="ar-SA"/>
                <w14:ligatures w14:val="none"/>
              </w:rPr>
            </w:pPr>
            <w:r>
              <w:rPr>
                <w:rFonts w:hint="eastAsia" w:asciiTheme="minorEastAsia" w:hAnsiTheme="minorEastAsia" w:eastAsiaTheme="minorEastAsia" w:cstheme="minorEastAsia"/>
                <w:color w:val="000000"/>
                <w:kern w:val="2"/>
                <w:sz w:val="24"/>
                <w:szCs w:val="24"/>
                <w:lang w:val="en-US" w:eastAsia="zh-CN" w:bidi="ar-SA"/>
                <w14:ligatures w14:val="none"/>
              </w:rPr>
              <w:t>乙方（盖章）：</w:t>
            </w:r>
          </w:p>
        </w:tc>
        <w:tc>
          <w:tcPr>
            <w:tcW w:w="976" w:type="pct"/>
            <w:vAlign w:val="center"/>
          </w:tcPr>
          <w:p>
            <w:pPr>
              <w:widowControl w:val="0"/>
              <w:spacing w:line="360" w:lineRule="auto"/>
              <w:ind w:firstLine="0" w:firstLineChars="0"/>
              <w:jc w:val="center"/>
              <w:rPr>
                <w:rFonts w:hint="eastAsia" w:asciiTheme="minorEastAsia" w:hAnsiTheme="minorEastAsia" w:eastAsiaTheme="minorEastAsia" w:cstheme="minorEastAsia"/>
                <w:color w:val="000000"/>
                <w:kern w:val="2"/>
                <w:sz w:val="24"/>
                <w:szCs w:val="24"/>
                <w:lang w:val="en-US" w:eastAsia="zh-CN" w:bidi="ar-SA"/>
                <w14:ligatures w14:val="none"/>
              </w:rPr>
            </w:pPr>
          </w:p>
        </w:tc>
        <w:tc>
          <w:tcPr>
            <w:tcW w:w="550" w:type="pct"/>
            <w:vAlign w:val="center"/>
          </w:tcPr>
          <w:p>
            <w:pPr>
              <w:widowControl w:val="0"/>
              <w:spacing w:line="360" w:lineRule="auto"/>
              <w:ind w:firstLine="0" w:firstLineChars="0"/>
              <w:jc w:val="center"/>
              <w:rPr>
                <w:rFonts w:hint="eastAsia" w:asciiTheme="minorEastAsia" w:hAnsiTheme="minorEastAsia" w:eastAsiaTheme="minorEastAsia" w:cstheme="minorEastAsia"/>
                <w:color w:val="000000"/>
                <w:kern w:val="2"/>
                <w:sz w:val="24"/>
                <w:szCs w:val="24"/>
                <w:lang w:val="en-US" w:eastAsia="zh-CN" w:bidi="ar-SA"/>
                <w14:ligatures w14: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trPr>
        <w:tc>
          <w:tcPr>
            <w:tcW w:w="2302" w:type="pct"/>
            <w:gridSpan w:val="2"/>
            <w:vAlign w:val="center"/>
          </w:tcPr>
          <w:p>
            <w:pPr>
              <w:widowControl w:val="0"/>
              <w:spacing w:line="360" w:lineRule="auto"/>
              <w:ind w:firstLine="0" w:firstLineChars="0"/>
              <w:jc w:val="both"/>
              <w:rPr>
                <w:rFonts w:hint="eastAsia" w:asciiTheme="minorEastAsia" w:hAnsiTheme="minorEastAsia" w:eastAsiaTheme="minorEastAsia" w:cstheme="minorEastAsia"/>
                <w:color w:val="000000"/>
                <w:kern w:val="2"/>
                <w:sz w:val="24"/>
                <w:szCs w:val="24"/>
                <w:lang w:val="en-US" w:eastAsia="zh-CN" w:bidi="ar-SA"/>
                <w14:ligatures w14:val="none"/>
              </w:rPr>
            </w:pPr>
            <w:r>
              <w:rPr>
                <w:rFonts w:hint="eastAsia" w:asciiTheme="minorEastAsia" w:hAnsiTheme="minorEastAsia" w:eastAsiaTheme="minorEastAsia" w:cstheme="minorEastAsia"/>
                <w:color w:val="000000"/>
                <w:kern w:val="2"/>
                <w:sz w:val="24"/>
                <w:szCs w:val="24"/>
                <w:lang w:val="en-US" w:eastAsia="zh-CN" w:bidi="ar-SA"/>
                <w14:ligatures w14:val="none"/>
              </w:rPr>
              <w:t>法定代表人或授权代表签字：</w:t>
            </w:r>
          </w:p>
        </w:tc>
        <w:tc>
          <w:tcPr>
            <w:tcW w:w="2146" w:type="pct"/>
            <w:gridSpan w:val="2"/>
            <w:vAlign w:val="center"/>
          </w:tcPr>
          <w:p>
            <w:pPr>
              <w:widowControl w:val="0"/>
              <w:spacing w:line="360" w:lineRule="auto"/>
              <w:jc w:val="both"/>
              <w:rPr>
                <w:rFonts w:hint="eastAsia" w:asciiTheme="minorEastAsia" w:hAnsiTheme="minorEastAsia" w:eastAsiaTheme="minorEastAsia" w:cstheme="minorEastAsia"/>
                <w:color w:val="000000"/>
                <w:kern w:val="2"/>
                <w:sz w:val="24"/>
                <w:szCs w:val="24"/>
                <w:lang w:val="en-US" w:eastAsia="zh-CN" w:bidi="ar-SA"/>
                <w14:ligatures w14:val="none"/>
              </w:rPr>
            </w:pPr>
            <w:r>
              <w:rPr>
                <w:rFonts w:hint="eastAsia" w:asciiTheme="minorEastAsia" w:hAnsiTheme="minorEastAsia" w:eastAsiaTheme="minorEastAsia" w:cstheme="minorEastAsia"/>
                <w:color w:val="000000"/>
                <w:kern w:val="2"/>
                <w:sz w:val="24"/>
                <w:szCs w:val="24"/>
                <w:lang w:val="en-US" w:eastAsia="zh-CN" w:bidi="ar-SA"/>
                <w14:ligatures w14:val="none"/>
              </w:rPr>
              <w:t>法定代表人或授权代表签字：</w:t>
            </w:r>
          </w:p>
        </w:tc>
        <w:tc>
          <w:tcPr>
            <w:tcW w:w="550" w:type="pct"/>
            <w:vAlign w:val="center"/>
          </w:tcPr>
          <w:p>
            <w:pPr>
              <w:widowControl w:val="0"/>
              <w:spacing w:line="360" w:lineRule="auto"/>
              <w:ind w:firstLine="0" w:firstLineChars="0"/>
              <w:jc w:val="center"/>
              <w:rPr>
                <w:rFonts w:hint="eastAsia" w:asciiTheme="minorEastAsia" w:hAnsiTheme="minorEastAsia" w:eastAsiaTheme="minorEastAsia" w:cstheme="minorEastAsia"/>
                <w:color w:val="000000"/>
                <w:kern w:val="2"/>
                <w:sz w:val="24"/>
                <w:szCs w:val="24"/>
                <w:lang w:val="en-US" w:eastAsia="zh-CN" w:bidi="ar-SA"/>
                <w14:ligatures w14: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trPr>
        <w:tc>
          <w:tcPr>
            <w:tcW w:w="1361" w:type="pct"/>
            <w:vAlign w:val="center"/>
          </w:tcPr>
          <w:p>
            <w:pPr>
              <w:widowControl w:val="0"/>
              <w:spacing w:line="360" w:lineRule="auto"/>
              <w:ind w:firstLine="0" w:firstLineChars="0"/>
              <w:jc w:val="both"/>
              <w:rPr>
                <w:rFonts w:hint="eastAsia" w:asciiTheme="minorEastAsia" w:hAnsiTheme="minorEastAsia" w:eastAsiaTheme="minorEastAsia" w:cstheme="minorEastAsia"/>
                <w:color w:val="000000"/>
                <w:kern w:val="2"/>
                <w:sz w:val="24"/>
                <w:szCs w:val="24"/>
                <w:lang w:val="en-US" w:eastAsia="zh-CN" w:bidi="ar-SA"/>
                <w14:ligatures w14:val="none"/>
              </w:rPr>
            </w:pPr>
            <w:r>
              <w:rPr>
                <w:rFonts w:hint="eastAsia" w:asciiTheme="minorEastAsia" w:hAnsiTheme="minorEastAsia" w:eastAsiaTheme="minorEastAsia" w:cstheme="minorEastAsia"/>
                <w:color w:val="000000"/>
                <w:kern w:val="2"/>
                <w:sz w:val="24"/>
                <w:szCs w:val="24"/>
                <w:lang w:val="en-US" w:eastAsia="zh-CN" w:bidi="ar-SA"/>
                <w14:ligatures w14:val="none"/>
              </w:rPr>
              <w:t>签署日期：</w:t>
            </w:r>
          </w:p>
        </w:tc>
        <w:tc>
          <w:tcPr>
            <w:tcW w:w="940" w:type="pct"/>
            <w:vAlign w:val="center"/>
          </w:tcPr>
          <w:p>
            <w:pPr>
              <w:widowControl w:val="0"/>
              <w:spacing w:line="360" w:lineRule="auto"/>
              <w:ind w:firstLine="0" w:firstLineChars="0"/>
              <w:jc w:val="center"/>
              <w:rPr>
                <w:rFonts w:hint="eastAsia" w:asciiTheme="minorEastAsia" w:hAnsiTheme="minorEastAsia" w:eastAsiaTheme="minorEastAsia" w:cstheme="minorEastAsia"/>
                <w:color w:val="000000"/>
                <w:kern w:val="2"/>
                <w:sz w:val="24"/>
                <w:szCs w:val="24"/>
                <w:lang w:val="en-US" w:eastAsia="zh-CN" w:bidi="ar-SA"/>
                <w14:ligatures w14:val="none"/>
              </w:rPr>
            </w:pPr>
          </w:p>
        </w:tc>
        <w:tc>
          <w:tcPr>
            <w:tcW w:w="1170" w:type="pct"/>
            <w:vAlign w:val="center"/>
          </w:tcPr>
          <w:p>
            <w:pPr>
              <w:widowControl w:val="0"/>
              <w:spacing w:line="360" w:lineRule="auto"/>
              <w:jc w:val="both"/>
              <w:rPr>
                <w:rFonts w:hint="eastAsia" w:asciiTheme="minorEastAsia" w:hAnsiTheme="minorEastAsia" w:eastAsiaTheme="minorEastAsia" w:cstheme="minorEastAsia"/>
                <w:color w:val="000000"/>
                <w:kern w:val="2"/>
                <w:sz w:val="24"/>
                <w:szCs w:val="24"/>
                <w:lang w:val="en-US" w:eastAsia="zh-CN" w:bidi="ar-SA"/>
                <w14:ligatures w14:val="none"/>
              </w:rPr>
            </w:pPr>
            <w:r>
              <w:rPr>
                <w:rFonts w:hint="eastAsia" w:asciiTheme="minorEastAsia" w:hAnsiTheme="minorEastAsia" w:eastAsiaTheme="minorEastAsia" w:cstheme="minorEastAsia"/>
                <w:color w:val="000000"/>
                <w:kern w:val="2"/>
                <w:sz w:val="24"/>
                <w:szCs w:val="24"/>
                <w:lang w:val="en-US" w:eastAsia="zh-CN" w:bidi="ar-SA"/>
                <w14:ligatures w14:val="none"/>
              </w:rPr>
              <w:t>签署日期：</w:t>
            </w:r>
          </w:p>
        </w:tc>
        <w:tc>
          <w:tcPr>
            <w:tcW w:w="976" w:type="pct"/>
            <w:vAlign w:val="center"/>
          </w:tcPr>
          <w:p>
            <w:pPr>
              <w:widowControl w:val="0"/>
              <w:spacing w:line="360" w:lineRule="auto"/>
              <w:ind w:firstLine="0" w:firstLineChars="0"/>
              <w:jc w:val="center"/>
              <w:rPr>
                <w:rFonts w:hint="eastAsia" w:asciiTheme="minorEastAsia" w:hAnsiTheme="minorEastAsia" w:eastAsiaTheme="minorEastAsia" w:cstheme="minorEastAsia"/>
                <w:color w:val="000000"/>
                <w:kern w:val="2"/>
                <w:sz w:val="24"/>
                <w:szCs w:val="24"/>
                <w:lang w:val="en-US" w:eastAsia="zh-CN" w:bidi="ar-SA"/>
                <w14:ligatures w14:val="none"/>
              </w:rPr>
            </w:pPr>
          </w:p>
        </w:tc>
        <w:tc>
          <w:tcPr>
            <w:tcW w:w="550" w:type="pct"/>
            <w:vAlign w:val="center"/>
          </w:tcPr>
          <w:p>
            <w:pPr>
              <w:widowControl w:val="0"/>
              <w:spacing w:line="360" w:lineRule="auto"/>
              <w:ind w:firstLine="0" w:firstLineChars="0"/>
              <w:jc w:val="center"/>
              <w:rPr>
                <w:rFonts w:hint="eastAsia" w:asciiTheme="minorEastAsia" w:hAnsiTheme="minorEastAsia" w:eastAsiaTheme="minorEastAsia" w:cstheme="minorEastAsia"/>
                <w:color w:val="000000"/>
                <w:kern w:val="2"/>
                <w:sz w:val="24"/>
                <w:szCs w:val="24"/>
                <w:lang w:val="en-US" w:eastAsia="zh-CN" w:bidi="ar-SA"/>
                <w14:ligatures w14: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trPr>
        <w:tc>
          <w:tcPr>
            <w:tcW w:w="1361" w:type="pct"/>
            <w:vAlign w:val="center"/>
          </w:tcPr>
          <w:p>
            <w:pPr>
              <w:widowControl w:val="0"/>
              <w:spacing w:line="360" w:lineRule="auto"/>
              <w:ind w:firstLine="0" w:firstLineChars="0"/>
              <w:jc w:val="both"/>
              <w:rPr>
                <w:rFonts w:hint="eastAsia" w:asciiTheme="minorEastAsia" w:hAnsiTheme="minorEastAsia" w:eastAsiaTheme="minorEastAsia" w:cstheme="minorEastAsia"/>
                <w:color w:val="000000"/>
                <w:kern w:val="2"/>
                <w:sz w:val="24"/>
                <w:szCs w:val="24"/>
                <w:lang w:val="en-US" w:eastAsia="zh-CN" w:bidi="ar-SA"/>
                <w14:ligatures w14:val="none"/>
              </w:rPr>
            </w:pPr>
            <w:r>
              <w:rPr>
                <w:rFonts w:hint="eastAsia" w:asciiTheme="minorEastAsia" w:hAnsiTheme="minorEastAsia" w:eastAsiaTheme="minorEastAsia" w:cstheme="minorEastAsia"/>
                <w:color w:val="000000"/>
                <w:kern w:val="2"/>
                <w:sz w:val="24"/>
                <w:szCs w:val="24"/>
                <w:lang w:val="en-US" w:eastAsia="zh-CN" w:bidi="ar-SA"/>
                <w14:ligatures w14:val="none"/>
              </w:rPr>
              <w:t>联系人：</w:t>
            </w:r>
          </w:p>
        </w:tc>
        <w:tc>
          <w:tcPr>
            <w:tcW w:w="940" w:type="pct"/>
            <w:vAlign w:val="center"/>
          </w:tcPr>
          <w:p>
            <w:pPr>
              <w:widowControl w:val="0"/>
              <w:spacing w:line="360" w:lineRule="auto"/>
              <w:ind w:firstLine="0" w:firstLineChars="0"/>
              <w:jc w:val="center"/>
              <w:rPr>
                <w:rFonts w:hint="eastAsia" w:asciiTheme="minorEastAsia" w:hAnsiTheme="minorEastAsia" w:eastAsiaTheme="minorEastAsia" w:cstheme="minorEastAsia"/>
                <w:color w:val="000000"/>
                <w:kern w:val="2"/>
                <w:sz w:val="24"/>
                <w:szCs w:val="24"/>
                <w:lang w:val="en-US" w:eastAsia="zh-CN" w:bidi="ar-SA"/>
                <w14:ligatures w14:val="none"/>
              </w:rPr>
            </w:pPr>
          </w:p>
        </w:tc>
        <w:tc>
          <w:tcPr>
            <w:tcW w:w="1170" w:type="pct"/>
            <w:vAlign w:val="center"/>
          </w:tcPr>
          <w:p>
            <w:pPr>
              <w:widowControl w:val="0"/>
              <w:spacing w:line="360" w:lineRule="auto"/>
              <w:jc w:val="both"/>
              <w:rPr>
                <w:rFonts w:hint="eastAsia" w:asciiTheme="minorEastAsia" w:hAnsiTheme="minorEastAsia" w:eastAsiaTheme="minorEastAsia" w:cstheme="minorEastAsia"/>
                <w:color w:val="000000"/>
                <w:kern w:val="2"/>
                <w:sz w:val="24"/>
                <w:szCs w:val="24"/>
                <w:lang w:val="en-US" w:eastAsia="zh-CN" w:bidi="ar-SA"/>
                <w14:ligatures w14:val="none"/>
              </w:rPr>
            </w:pPr>
            <w:r>
              <w:rPr>
                <w:rFonts w:hint="eastAsia" w:asciiTheme="minorEastAsia" w:hAnsiTheme="minorEastAsia" w:eastAsiaTheme="minorEastAsia" w:cstheme="minorEastAsia"/>
                <w:color w:val="000000"/>
                <w:kern w:val="2"/>
                <w:sz w:val="24"/>
                <w:szCs w:val="24"/>
                <w:lang w:val="en-US" w:eastAsia="zh-CN" w:bidi="ar-SA"/>
                <w14:ligatures w14:val="none"/>
              </w:rPr>
              <w:t>联系人：</w:t>
            </w:r>
          </w:p>
        </w:tc>
        <w:tc>
          <w:tcPr>
            <w:tcW w:w="976" w:type="pct"/>
            <w:vAlign w:val="center"/>
          </w:tcPr>
          <w:p>
            <w:pPr>
              <w:widowControl w:val="0"/>
              <w:spacing w:line="360" w:lineRule="auto"/>
              <w:ind w:firstLine="0" w:firstLineChars="0"/>
              <w:jc w:val="center"/>
              <w:rPr>
                <w:rFonts w:hint="eastAsia" w:asciiTheme="minorEastAsia" w:hAnsiTheme="minorEastAsia" w:eastAsiaTheme="minorEastAsia" w:cstheme="minorEastAsia"/>
                <w:color w:val="000000"/>
                <w:kern w:val="2"/>
                <w:sz w:val="24"/>
                <w:szCs w:val="24"/>
                <w:lang w:val="en-US" w:eastAsia="zh-CN" w:bidi="ar-SA"/>
                <w14:ligatures w14:val="none"/>
              </w:rPr>
            </w:pPr>
          </w:p>
        </w:tc>
        <w:tc>
          <w:tcPr>
            <w:tcW w:w="550" w:type="pct"/>
            <w:vAlign w:val="center"/>
          </w:tcPr>
          <w:p>
            <w:pPr>
              <w:widowControl w:val="0"/>
              <w:spacing w:line="360" w:lineRule="auto"/>
              <w:ind w:firstLine="0" w:firstLineChars="0"/>
              <w:jc w:val="center"/>
              <w:rPr>
                <w:rFonts w:hint="eastAsia" w:asciiTheme="minorEastAsia" w:hAnsiTheme="minorEastAsia" w:eastAsiaTheme="minorEastAsia" w:cstheme="minorEastAsia"/>
                <w:color w:val="000000"/>
                <w:kern w:val="2"/>
                <w:sz w:val="24"/>
                <w:szCs w:val="24"/>
                <w:lang w:val="en-US" w:eastAsia="zh-CN" w:bidi="ar-SA"/>
                <w14:ligatures w14: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trPr>
        <w:tc>
          <w:tcPr>
            <w:tcW w:w="1361" w:type="pct"/>
            <w:vAlign w:val="center"/>
          </w:tcPr>
          <w:p>
            <w:pPr>
              <w:widowControl w:val="0"/>
              <w:spacing w:line="360" w:lineRule="auto"/>
              <w:ind w:firstLine="0" w:firstLineChars="0"/>
              <w:jc w:val="both"/>
              <w:rPr>
                <w:rFonts w:hint="eastAsia" w:asciiTheme="minorEastAsia" w:hAnsiTheme="minorEastAsia" w:eastAsiaTheme="minorEastAsia" w:cstheme="minorEastAsia"/>
                <w:color w:val="000000"/>
                <w:kern w:val="2"/>
                <w:sz w:val="24"/>
                <w:szCs w:val="24"/>
                <w:lang w:val="en-US" w:eastAsia="zh-CN" w:bidi="ar-SA"/>
                <w14:ligatures w14:val="none"/>
              </w:rPr>
            </w:pPr>
            <w:r>
              <w:rPr>
                <w:rFonts w:hint="eastAsia" w:asciiTheme="minorEastAsia" w:hAnsiTheme="minorEastAsia" w:eastAsiaTheme="minorEastAsia" w:cstheme="minorEastAsia"/>
                <w:color w:val="000000"/>
                <w:kern w:val="2"/>
                <w:sz w:val="24"/>
                <w:szCs w:val="24"/>
                <w:lang w:val="en-US" w:eastAsia="zh-CN" w:bidi="ar-SA"/>
                <w14:ligatures w14:val="none"/>
              </w:rPr>
              <w:t>电话：</w:t>
            </w:r>
          </w:p>
        </w:tc>
        <w:tc>
          <w:tcPr>
            <w:tcW w:w="940" w:type="pct"/>
            <w:vAlign w:val="center"/>
          </w:tcPr>
          <w:p>
            <w:pPr>
              <w:widowControl w:val="0"/>
              <w:spacing w:line="360" w:lineRule="auto"/>
              <w:ind w:firstLine="0" w:firstLineChars="0"/>
              <w:jc w:val="center"/>
              <w:rPr>
                <w:rFonts w:hint="eastAsia" w:asciiTheme="minorEastAsia" w:hAnsiTheme="minorEastAsia" w:eastAsiaTheme="minorEastAsia" w:cstheme="minorEastAsia"/>
                <w:color w:val="000000"/>
                <w:kern w:val="2"/>
                <w:sz w:val="24"/>
                <w:szCs w:val="24"/>
                <w:lang w:val="en-US" w:eastAsia="zh-CN" w:bidi="ar-SA"/>
                <w14:ligatures w14:val="none"/>
              </w:rPr>
            </w:pPr>
          </w:p>
        </w:tc>
        <w:tc>
          <w:tcPr>
            <w:tcW w:w="1170" w:type="pct"/>
            <w:vAlign w:val="center"/>
          </w:tcPr>
          <w:p>
            <w:pPr>
              <w:widowControl w:val="0"/>
              <w:spacing w:line="360" w:lineRule="auto"/>
              <w:jc w:val="both"/>
              <w:rPr>
                <w:rFonts w:hint="eastAsia" w:asciiTheme="minorEastAsia" w:hAnsiTheme="minorEastAsia" w:eastAsiaTheme="minorEastAsia" w:cstheme="minorEastAsia"/>
                <w:color w:val="000000"/>
                <w:kern w:val="2"/>
                <w:sz w:val="24"/>
                <w:szCs w:val="24"/>
                <w:lang w:val="en-US" w:eastAsia="zh-CN" w:bidi="ar-SA"/>
                <w14:ligatures w14:val="none"/>
              </w:rPr>
            </w:pPr>
            <w:r>
              <w:rPr>
                <w:rFonts w:hint="eastAsia" w:asciiTheme="minorEastAsia" w:hAnsiTheme="minorEastAsia" w:eastAsiaTheme="minorEastAsia" w:cstheme="minorEastAsia"/>
                <w:color w:val="000000"/>
                <w:kern w:val="2"/>
                <w:sz w:val="24"/>
                <w:szCs w:val="24"/>
                <w:lang w:val="en-US" w:eastAsia="zh-CN" w:bidi="ar-SA"/>
                <w14:ligatures w14:val="none"/>
              </w:rPr>
              <w:t>电话：</w:t>
            </w:r>
          </w:p>
        </w:tc>
        <w:tc>
          <w:tcPr>
            <w:tcW w:w="976" w:type="pct"/>
            <w:vAlign w:val="center"/>
          </w:tcPr>
          <w:p>
            <w:pPr>
              <w:widowControl w:val="0"/>
              <w:spacing w:line="360" w:lineRule="auto"/>
              <w:ind w:firstLine="0" w:firstLineChars="0"/>
              <w:jc w:val="center"/>
              <w:rPr>
                <w:rFonts w:hint="eastAsia" w:asciiTheme="minorEastAsia" w:hAnsiTheme="minorEastAsia" w:eastAsiaTheme="minorEastAsia" w:cstheme="minorEastAsia"/>
                <w:color w:val="000000"/>
                <w:kern w:val="2"/>
                <w:sz w:val="24"/>
                <w:szCs w:val="24"/>
                <w:lang w:val="en-US" w:eastAsia="zh-CN" w:bidi="ar-SA"/>
                <w14:ligatures w14:val="none"/>
              </w:rPr>
            </w:pPr>
          </w:p>
        </w:tc>
        <w:tc>
          <w:tcPr>
            <w:tcW w:w="550" w:type="pct"/>
            <w:vAlign w:val="center"/>
          </w:tcPr>
          <w:p>
            <w:pPr>
              <w:widowControl w:val="0"/>
              <w:spacing w:line="360" w:lineRule="auto"/>
              <w:ind w:firstLine="0" w:firstLineChars="0"/>
              <w:jc w:val="center"/>
              <w:rPr>
                <w:rFonts w:hint="eastAsia" w:asciiTheme="minorEastAsia" w:hAnsiTheme="minorEastAsia" w:eastAsiaTheme="minorEastAsia" w:cstheme="minorEastAsia"/>
                <w:color w:val="000000"/>
                <w:kern w:val="2"/>
                <w:sz w:val="24"/>
                <w:szCs w:val="24"/>
                <w:lang w:val="en-US" w:eastAsia="zh-CN" w:bidi="ar-SA"/>
                <w14:ligatures w14: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trPr>
        <w:tc>
          <w:tcPr>
            <w:tcW w:w="2302" w:type="pct"/>
            <w:gridSpan w:val="2"/>
            <w:vAlign w:val="center"/>
          </w:tcPr>
          <w:p>
            <w:pPr>
              <w:widowControl w:val="0"/>
              <w:spacing w:line="360" w:lineRule="auto"/>
              <w:ind w:firstLine="0" w:firstLineChars="0"/>
              <w:jc w:val="both"/>
              <w:rPr>
                <w:rFonts w:hint="eastAsia" w:asciiTheme="minorEastAsia" w:hAnsiTheme="minorEastAsia" w:eastAsiaTheme="minorEastAsia" w:cstheme="minorEastAsia"/>
                <w:color w:val="000000"/>
                <w:kern w:val="2"/>
                <w:sz w:val="24"/>
                <w:szCs w:val="24"/>
                <w:lang w:val="en-US" w:eastAsia="zh-CN" w:bidi="ar-SA"/>
                <w14:ligatures w14:val="none"/>
              </w:rPr>
            </w:pPr>
            <w:r>
              <w:rPr>
                <w:rFonts w:hint="eastAsia" w:asciiTheme="minorEastAsia" w:hAnsiTheme="minorEastAsia" w:eastAsiaTheme="minorEastAsia" w:cstheme="minorEastAsia"/>
                <w:color w:val="000000"/>
                <w:kern w:val="2"/>
                <w:sz w:val="24"/>
                <w:szCs w:val="24"/>
                <w:lang w:val="en-US" w:eastAsia="zh-CN" w:bidi="ar-SA"/>
                <w14:ligatures w14:val="none"/>
              </w:rPr>
              <w:t>邮寄地址及邮编：</w:t>
            </w:r>
          </w:p>
        </w:tc>
        <w:tc>
          <w:tcPr>
            <w:tcW w:w="2146" w:type="pct"/>
            <w:gridSpan w:val="2"/>
            <w:vAlign w:val="center"/>
          </w:tcPr>
          <w:p>
            <w:pPr>
              <w:widowControl w:val="0"/>
              <w:spacing w:line="360" w:lineRule="auto"/>
              <w:jc w:val="both"/>
              <w:rPr>
                <w:rFonts w:hint="eastAsia" w:asciiTheme="minorEastAsia" w:hAnsiTheme="minorEastAsia" w:eastAsiaTheme="minorEastAsia" w:cstheme="minorEastAsia"/>
                <w:color w:val="000000"/>
                <w:kern w:val="2"/>
                <w:sz w:val="24"/>
                <w:szCs w:val="24"/>
                <w:lang w:val="en-US" w:eastAsia="zh-CN" w:bidi="ar-SA"/>
                <w14:ligatures w14:val="none"/>
              </w:rPr>
            </w:pPr>
            <w:r>
              <w:rPr>
                <w:rFonts w:hint="eastAsia" w:asciiTheme="minorEastAsia" w:hAnsiTheme="minorEastAsia" w:eastAsiaTheme="minorEastAsia" w:cstheme="minorEastAsia"/>
                <w:color w:val="000000"/>
                <w:kern w:val="2"/>
                <w:sz w:val="24"/>
                <w:szCs w:val="24"/>
                <w:lang w:val="en-US" w:eastAsia="zh-CN" w:bidi="ar-SA"/>
                <w14:ligatures w14:val="none"/>
              </w:rPr>
              <w:t>邮寄地址及邮编：</w:t>
            </w:r>
          </w:p>
        </w:tc>
        <w:tc>
          <w:tcPr>
            <w:tcW w:w="550" w:type="pct"/>
            <w:vAlign w:val="center"/>
          </w:tcPr>
          <w:p>
            <w:pPr>
              <w:widowControl w:val="0"/>
              <w:spacing w:line="360" w:lineRule="auto"/>
              <w:ind w:firstLine="0" w:firstLineChars="0"/>
              <w:jc w:val="center"/>
              <w:rPr>
                <w:rFonts w:hint="eastAsia" w:asciiTheme="minorEastAsia" w:hAnsiTheme="minorEastAsia" w:eastAsiaTheme="minorEastAsia" w:cstheme="minorEastAsia"/>
                <w:color w:val="000000"/>
                <w:kern w:val="2"/>
                <w:sz w:val="24"/>
                <w:szCs w:val="24"/>
                <w:lang w:val="en-US" w:eastAsia="zh-CN" w:bidi="ar-SA"/>
                <w14:ligatures w14:val="none"/>
              </w:rPr>
            </w:pPr>
          </w:p>
        </w:tc>
      </w:tr>
    </w:tbl>
    <w:p>
      <w:pPr>
        <w:widowControl w:val="0"/>
        <w:spacing w:line="360" w:lineRule="auto"/>
        <w:ind w:left="0" w:firstLine="0" w:firstLineChars="0"/>
        <w:jc w:val="both"/>
        <w:rPr>
          <w:rFonts w:hint="eastAsia" w:ascii="宋体" w:hAnsi="宋体" w:eastAsia="宋体" w:cs="宋体"/>
          <w:color w:val="000000"/>
          <w:kern w:val="2"/>
          <w:sz w:val="24"/>
          <w:szCs w:val="24"/>
          <w:lang w:val="en-US" w:eastAsia="zh-CN" w:bidi="ar-SA"/>
          <w14:ligatures w14:val="none"/>
        </w:rPr>
      </w:pPr>
    </w:p>
    <w:p>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14:ligatures w14:val="none"/>
        </w:rPr>
      </w:pPr>
      <w:r>
        <w:rPr>
          <w:rFonts w:hint="eastAsia" w:ascii="宋体" w:hAnsi="宋体" w:eastAsia="宋体" w:cs="宋体"/>
          <w:snapToGrid/>
          <w:color w:val="000000"/>
          <w:kern w:val="2"/>
          <w:sz w:val="24"/>
          <w:szCs w:val="24"/>
          <w:lang w:val="en-US" w:eastAsia="zh-CN"/>
          <w14:ligatures w14:val="none"/>
        </w:rPr>
        <w:t>附件2：</w:t>
      </w:r>
    </w:p>
    <w:p>
      <w:pPr>
        <w:pStyle w:val="4"/>
        <w:bidi w:val="0"/>
        <w:spacing w:line="360" w:lineRule="auto"/>
        <w:jc w:val="center"/>
        <w:rPr>
          <w:rFonts w:hint="eastAsia" w:ascii="宋体" w:hAnsi="宋体" w:eastAsia="宋体" w:cs="宋体"/>
          <w:lang w:val="en-US" w:eastAsia="zh-CN"/>
        </w:rPr>
      </w:pPr>
      <w:r>
        <w:rPr>
          <w:rFonts w:hint="eastAsia" w:ascii="宋体" w:hAnsi="宋体" w:eastAsia="宋体" w:cs="宋体"/>
          <w:lang w:val="en-US" w:eastAsia="zh-CN"/>
        </w:rPr>
        <w:t>供应商食品安全承诺书</w:t>
      </w:r>
    </w:p>
    <w:tbl>
      <w:tblPr>
        <w:tblStyle w:val="1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721"/>
        <w:gridCol w:w="1204"/>
        <w:gridCol w:w="1184"/>
        <w:gridCol w:w="1213"/>
        <w:gridCol w:w="1479"/>
        <w:gridCol w:w="2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7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bidi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bidi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品名</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bidi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规格型号</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bidi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包装形式</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bidi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执行标准</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bidi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生产者名称</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bidi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7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bidi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bidi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eastAsia="zh-CN"/>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bidi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eastAsia="zh-CN"/>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bidi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eastAsia="zh-CN"/>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bidi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eastAsia="zh-CN"/>
              </w:rPr>
            </w:pPr>
          </w:p>
        </w:tc>
        <w:tc>
          <w:tcPr>
            <w:tcW w:w="8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bidi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eastAsia="zh-CN"/>
              </w:rPr>
            </w:pP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bidi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7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bidi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bidi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eastAsia="zh-CN"/>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bidi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eastAsia="zh-CN"/>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bidi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eastAsia="zh-CN"/>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bidi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eastAsia="zh-CN"/>
              </w:rPr>
            </w:pPr>
          </w:p>
        </w:tc>
        <w:tc>
          <w:tcPr>
            <w:tcW w:w="8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bidi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eastAsia="zh-CN"/>
              </w:rPr>
            </w:pP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bidi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可另附产品清单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7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bidi w:val="0"/>
              <w:spacing w:before="0" w:beforeAutospacing="0" w:after="0" w:afterAutospacing="0" w:line="360" w:lineRule="auto"/>
              <w:ind w:left="0" w:right="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一、基本承诺</w:t>
            </w:r>
          </w:p>
          <w:p>
            <w:pPr>
              <w:keepNext w:val="0"/>
              <w:keepLines w:val="0"/>
              <w:widowControl/>
              <w:suppressLineNumbers w:val="0"/>
              <w:bidi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1、检测报告：每年至少提供一次合格的第三方型式检验报告或其他合格证明，每批次产品提供对应生产日期的检测报告或承诺达标合格证；检测项目和检测频率符合产品执行标准的要求。</w:t>
            </w:r>
          </w:p>
          <w:p>
            <w:pPr>
              <w:keepNext w:val="0"/>
              <w:keepLines w:val="0"/>
              <w:widowControl/>
              <w:suppressLineNumbers w:val="0"/>
              <w:bidi w:val="0"/>
              <w:spacing w:before="0" w:beforeAutospacing="0" w:after="0" w:afterAutospacing="0" w:line="360" w:lineRule="auto"/>
              <w:ind w:left="0" w:right="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2、产品标签标识：符合产品执行标准、相关法律法规和食品安全国家标准的要求。包装：干净、卫生、无破损、包装材料符合国家相关法律法规的要求。</w:t>
            </w:r>
          </w:p>
          <w:p>
            <w:pPr>
              <w:keepNext w:val="0"/>
              <w:keepLines w:val="0"/>
              <w:widowControl/>
              <w:suppressLineNumbers w:val="0"/>
              <w:bidi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运输（适用于供应商送货情形）：运输车辆和设备清洁、卫生、无异味；不与有毒、有害、有异味、有挥发性、有腐蚀性物品混装、混运，运输中保持干燥清洁。冻品必须采用有良好的制冷空调的车辆运输或采取其他保温措施，保证运输车辆的清洁运输。产品温度符合GB31605《食品冷链物流卫生规范》及对应产品运输标准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7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bidi w:val="0"/>
              <w:spacing w:before="0" w:beforeAutospacing="0" w:after="0" w:afterAutospacing="0" w:line="360" w:lineRule="auto"/>
              <w:ind w:left="0" w:right="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二、食品安全承诺</w:t>
            </w:r>
          </w:p>
          <w:p>
            <w:pPr>
              <w:keepNext w:val="0"/>
              <w:keepLines w:val="0"/>
              <w:widowControl/>
              <w:suppressLineNumbers w:val="0"/>
              <w:bidi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在此慎重承诺：我司提供的所有产品符合《中华人民共和国食品安全法》《中华人民共和国农产品质量安全法》等法律法规和相关食品安全标准的要求。我司生产、经营过程严格遵守《中华人民共和国食品安全法》《中华人民共和国农产品质量安全法》等法律、法规及农业部、卫生部相关公告，产品符合GB 2762《食品安全国家标准食品中污染物限量》、GB 2763《食品安全国家标准食品中农药最大残留限量》等食品安全标准的要求。本产品生产工厂是证照齐全的加工厂或基地；若有生产工艺变更或产地变更，提前通知确认。若本产品因原料或加工工艺、包装、运输等原因造成产品不符合《中华人民共和国食品安全法》等法律法规和相关食品安全国家标准，本公司承诺赔偿由此造成的所有经济损失，承担全部法律责任。当国际、国内出现本产品相关食品安全事件时，或政府、媒体、公众特别关注本产品相关食品安全指标时，保证本产品符合最新法律、法规及相关标准的要求，并提供相关的合格证明。特此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7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3"/>
              </w:numPr>
              <w:suppressLineNumbers w:val="0"/>
              <w:bidi w:val="0"/>
              <w:spacing w:before="0" w:beforeAutospacing="0" w:after="0" w:afterAutospacing="0" w:line="360" w:lineRule="auto"/>
              <w:ind w:left="0" w:right="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品质抽检承诺</w:t>
            </w:r>
          </w:p>
          <w:p>
            <w:pPr>
              <w:keepNext w:val="0"/>
              <w:keepLines w:val="0"/>
              <w:widowControl/>
              <w:suppressLineNumbers w:val="0"/>
              <w:bidi w:val="0"/>
              <w:spacing w:before="0" w:beforeAutospacing="0" w:after="0" w:afterAutospacing="0" w:line="360" w:lineRule="auto"/>
              <w:ind w:left="0" w:right="0" w:firstLine="480"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保证我司提供给贵司相关产品的理化指标、综合质量的稳定性和可靠性，产品品质符合国家相关法律、法规和政策要求，我司郑重承诺：愿意接受贵司委派的产品质量管理人员不定期对我司下属的包括但不限于生产车间、生产设备、实验室、仓储库房、运输车辆、制度文件、检测原始记录等设施、设备或档案进行抽查或抽检，我司将予全力配合。特此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7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3"/>
              </w:numPr>
              <w:suppressLineNumbers w:val="0"/>
              <w:bidi w:val="0"/>
              <w:spacing w:before="0" w:beforeAutospacing="0" w:after="0" w:afterAutospacing="0" w:line="360" w:lineRule="auto"/>
              <w:ind w:left="0" w:right="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资质真实性承诺书</w:t>
            </w:r>
          </w:p>
          <w:p>
            <w:pPr>
              <w:keepNext w:val="0"/>
              <w:keepLines w:val="0"/>
              <w:widowControl/>
              <w:suppressLineNumbers w:val="0"/>
              <w:bidi w:val="0"/>
              <w:spacing w:before="0" w:beforeAutospacing="0" w:after="0" w:afterAutospacing="0" w:line="360" w:lineRule="auto"/>
              <w:ind w:left="0" w:right="0" w:firstLine="480"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我司郑重承诺：我司所提供的各项资质材料（公司证照、法人证件、经办人证件等）真实、有效，复印件与原件是一致的，如隐瞒有关情况或提供任何虚假材料，愿意承担一切法律责任。特此承诺！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70" w:hRule="atLeast"/>
        </w:trPr>
        <w:tc>
          <w:tcPr>
            <w:tcW w:w="5000" w:type="pct"/>
            <w:gridSpan w:val="7"/>
            <w:tcBorders>
              <w:top w:val="single" w:color="000000" w:sz="4" w:space="0"/>
              <w:left w:val="nil"/>
              <w:bottom w:val="nil"/>
              <w:right w:val="nil"/>
            </w:tcBorders>
            <w:shd w:val="clear" w:color="auto" w:fill="auto"/>
            <w:vAlign w:val="bottom"/>
          </w:tcPr>
          <w:p>
            <w:pPr>
              <w:keepNext w:val="0"/>
              <w:keepLines w:val="0"/>
              <w:widowControl/>
              <w:suppressLineNumbers w:val="0"/>
              <w:wordWrap w:val="0"/>
              <w:bidi w:val="0"/>
              <w:spacing w:before="0" w:beforeAutospacing="0" w:after="0" w:afterAutospacing="0" w:line="360" w:lineRule="auto"/>
              <w:ind w:left="0" w:right="0"/>
              <w:jc w:val="righ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供应商名称（盖章）：             </w:t>
            </w:r>
          </w:p>
          <w:p>
            <w:pPr>
              <w:keepNext w:val="0"/>
              <w:keepLines w:val="0"/>
              <w:widowControl/>
              <w:suppressLineNumbers w:val="0"/>
              <w:wordWrap w:val="0"/>
              <w:bidi w:val="0"/>
              <w:spacing w:before="0" w:beforeAutospacing="0" w:after="0" w:afterAutospacing="0" w:line="360" w:lineRule="auto"/>
              <w:ind w:left="0" w:right="0"/>
              <w:jc w:val="righ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法定代表人（签字）：             </w:t>
            </w:r>
          </w:p>
          <w:p>
            <w:pPr>
              <w:keepNext w:val="0"/>
              <w:keepLines w:val="0"/>
              <w:widowControl/>
              <w:suppressLineNumbers w:val="0"/>
              <w:bidi w:val="0"/>
              <w:spacing w:before="0" w:beforeAutospacing="0" w:after="0" w:afterAutospacing="0" w:line="360" w:lineRule="auto"/>
              <w:ind w:left="0" w:right="0"/>
              <w:jc w:val="righ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tc>
      </w:tr>
    </w:tbl>
    <w:p>
      <w:pPr>
        <w:spacing w:line="360" w:lineRule="auto"/>
        <w:rPr>
          <w:rFonts w:hint="eastAsia" w:ascii="宋体" w:hAnsi="宋体" w:eastAsia="宋体" w:cs="宋体"/>
          <w:snapToGrid/>
          <w:color w:val="000000"/>
          <w:kern w:val="2"/>
          <w:sz w:val="24"/>
          <w:szCs w:val="24"/>
          <w:lang w:val="en-US" w:eastAsia="zh-CN"/>
          <w14:ligatures w14:val="none"/>
        </w:rPr>
      </w:pPr>
      <w:r>
        <w:rPr>
          <w:rFonts w:hint="eastAsia" w:ascii="宋体" w:hAnsi="宋体" w:eastAsia="宋体" w:cs="宋体"/>
          <w:snapToGrid/>
          <w:color w:val="auto"/>
          <w:kern w:val="2"/>
          <w:sz w:val="24"/>
          <w:szCs w:val="24"/>
          <w:u w:val="none"/>
          <w:lang w:val="en-US" w:eastAsia="zh-CN"/>
          <w14:ligatures w14:val="none"/>
        </w:rPr>
        <w:t>附：农产品合格证明：</w:t>
      </w:r>
      <w:r>
        <w:rPr>
          <w:rFonts w:hint="eastAsia" w:ascii="宋体" w:hAnsi="宋体" w:eastAsia="宋体" w:cs="宋体"/>
          <w:snapToGrid/>
          <w:color w:val="000000"/>
          <w:kern w:val="2"/>
          <w:sz w:val="24"/>
          <w:szCs w:val="24"/>
          <w:lang w:val="en-US" w:eastAsia="zh-CN"/>
          <w14:ligatures w14:val="none"/>
        </w:rPr>
        <w:br w:type="page"/>
      </w:r>
    </w:p>
    <w:p>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14:ligatures w14:val="none"/>
        </w:rPr>
      </w:pPr>
      <w:r>
        <w:rPr>
          <w:rFonts w:hint="eastAsia" w:ascii="宋体" w:hAnsi="宋体" w:eastAsia="宋体" w:cs="宋体"/>
          <w:snapToGrid/>
          <w:color w:val="000000"/>
          <w:kern w:val="2"/>
          <w:sz w:val="24"/>
          <w:szCs w:val="24"/>
          <w:lang w:val="en-US" w:eastAsia="zh-CN"/>
          <w14:ligatures w14:val="none"/>
        </w:rPr>
        <w:t>附件3：</w:t>
      </w:r>
    </w:p>
    <w:p>
      <w:pPr>
        <w:pStyle w:val="4"/>
        <w:bidi w:val="0"/>
        <w:spacing w:line="360" w:lineRule="auto"/>
        <w:jc w:val="center"/>
        <w:rPr>
          <w:rFonts w:hint="eastAsia" w:ascii="宋体" w:hAnsi="宋体" w:eastAsia="宋体" w:cs="宋体"/>
          <w:b/>
          <w:lang w:val="en-US" w:eastAsia="zh-CN"/>
        </w:rPr>
      </w:pPr>
      <w:r>
        <w:rPr>
          <w:rFonts w:hint="eastAsia" w:ascii="宋体" w:hAnsi="宋体" w:eastAsia="宋体" w:cs="宋体"/>
          <w:b/>
          <w:lang w:val="en-US" w:eastAsia="zh-CN"/>
        </w:rPr>
        <w:t>供应商须知</w:t>
      </w:r>
    </w:p>
    <w:p>
      <w:pPr>
        <w:pStyle w:val="5"/>
        <w:rPr>
          <w:rFonts w:hint="eastAsia" w:ascii="宋体" w:hAnsi="宋体" w:eastAsia="宋体" w:cs="宋体"/>
          <w:sz w:val="24"/>
          <w:szCs w:val="24"/>
        </w:rPr>
      </w:pPr>
      <w:r>
        <w:rPr>
          <w:rFonts w:hint="eastAsia" w:ascii="宋体" w:hAnsi="宋体" w:eastAsia="宋体" w:cs="宋体"/>
          <w:sz w:val="24"/>
          <w:szCs w:val="24"/>
        </w:rPr>
        <w:t>一、范围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本标准规定了供应商在日常生产供应产品各个阶段的品质控制管理要求，标准适用于供应商的品质控制及管理。</w:t>
      </w:r>
    </w:p>
    <w:p>
      <w:pPr>
        <w:pStyle w:val="5"/>
        <w:rPr>
          <w:rFonts w:hint="eastAsia" w:ascii="宋体" w:hAnsi="宋体" w:eastAsia="宋体" w:cs="宋体"/>
          <w:sz w:val="24"/>
          <w:szCs w:val="24"/>
        </w:rPr>
      </w:pPr>
      <w:r>
        <w:rPr>
          <w:rFonts w:hint="eastAsia" w:ascii="宋体" w:hAnsi="宋体" w:eastAsia="宋体" w:cs="宋体"/>
          <w:sz w:val="24"/>
          <w:szCs w:val="24"/>
        </w:rPr>
        <w:t>二、准入规则</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供应商需要根据我司供应商准入要求提供对应资质证件，</w:t>
      </w:r>
      <w:r>
        <w:rPr>
          <w:rFonts w:hint="eastAsia" w:ascii="宋体" w:hAnsi="宋体" w:eastAsia="宋体" w:cs="宋体"/>
          <w:sz w:val="24"/>
          <w:szCs w:val="24"/>
          <w:lang w:val="en-US" w:eastAsia="zh-CN"/>
        </w:rPr>
        <w:t>由我司进行</w:t>
      </w:r>
      <w:r>
        <w:rPr>
          <w:rFonts w:hint="eastAsia" w:ascii="宋体" w:hAnsi="宋体" w:eastAsia="宋体" w:cs="宋体"/>
          <w:sz w:val="24"/>
          <w:szCs w:val="24"/>
        </w:rPr>
        <w:t>审核评估准入。</w:t>
      </w:r>
    </w:p>
    <w:p>
      <w:pPr>
        <w:pStyle w:val="5"/>
        <w:rPr>
          <w:rFonts w:hint="eastAsia" w:ascii="宋体" w:hAnsi="宋体" w:eastAsia="宋体" w:cs="宋体"/>
          <w:sz w:val="24"/>
          <w:szCs w:val="24"/>
        </w:rPr>
      </w:pPr>
      <w:r>
        <w:rPr>
          <w:rFonts w:hint="eastAsia" w:ascii="宋体" w:hAnsi="宋体" w:eastAsia="宋体" w:cs="宋体"/>
          <w:sz w:val="24"/>
          <w:szCs w:val="24"/>
        </w:rPr>
        <w:t>三、品质管理</w:t>
      </w:r>
    </w:p>
    <w:p>
      <w:pPr>
        <w:numPr>
          <w:ilvl w:val="0"/>
          <w:numId w:val="4"/>
        </w:numPr>
        <w:spacing w:line="360" w:lineRule="auto"/>
        <w:rPr>
          <w:rFonts w:hint="eastAsia" w:ascii="宋体" w:hAnsi="宋体" w:eastAsia="宋体" w:cs="宋体"/>
          <w:sz w:val="24"/>
          <w:szCs w:val="24"/>
        </w:rPr>
      </w:pPr>
      <w:r>
        <w:rPr>
          <w:rFonts w:hint="eastAsia" w:ascii="宋体" w:hAnsi="宋体" w:eastAsia="宋体" w:cs="宋体"/>
          <w:sz w:val="24"/>
          <w:szCs w:val="24"/>
        </w:rPr>
        <w:t>确保每批物料</w:t>
      </w:r>
      <w:r>
        <w:rPr>
          <w:rFonts w:hint="eastAsia" w:ascii="宋体" w:hAnsi="宋体" w:eastAsia="宋体" w:cs="宋体"/>
          <w:sz w:val="24"/>
          <w:szCs w:val="24"/>
          <w:lang w:val="en-US" w:eastAsia="zh-CN"/>
        </w:rPr>
        <w:t>具备</w:t>
      </w:r>
      <w:r>
        <w:rPr>
          <w:rFonts w:hint="eastAsia" w:ascii="宋体" w:hAnsi="宋体" w:eastAsia="宋体" w:cs="宋体"/>
          <w:sz w:val="24"/>
          <w:szCs w:val="24"/>
        </w:rPr>
        <w:t>对应批次的合格证明，或根据产品执行标准</w:t>
      </w:r>
      <w:r>
        <w:rPr>
          <w:rFonts w:hint="eastAsia" w:ascii="宋体" w:hAnsi="宋体" w:eastAsia="宋体" w:cs="宋体"/>
          <w:sz w:val="24"/>
          <w:szCs w:val="24"/>
          <w:lang w:val="en-US" w:eastAsia="zh-CN"/>
        </w:rPr>
        <w:t>及检验频率要求</w:t>
      </w:r>
      <w:r>
        <w:rPr>
          <w:rFonts w:hint="eastAsia" w:ascii="宋体" w:hAnsi="宋体" w:eastAsia="宋体" w:cs="宋体"/>
          <w:sz w:val="24"/>
          <w:szCs w:val="24"/>
        </w:rPr>
        <w:t>进行检测。</w:t>
      </w:r>
    </w:p>
    <w:p>
      <w:pPr>
        <w:numPr>
          <w:ilvl w:val="0"/>
          <w:numId w:val="4"/>
        </w:numPr>
        <w:spacing w:line="360" w:lineRule="auto"/>
        <w:rPr>
          <w:rFonts w:hint="eastAsia" w:ascii="宋体" w:hAnsi="宋体" w:eastAsia="宋体" w:cs="宋体"/>
          <w:sz w:val="24"/>
          <w:szCs w:val="24"/>
        </w:rPr>
      </w:pPr>
      <w:r>
        <w:rPr>
          <w:rFonts w:hint="eastAsia" w:ascii="宋体" w:hAnsi="宋体" w:eastAsia="宋体" w:cs="宋体"/>
          <w:sz w:val="24"/>
          <w:szCs w:val="24"/>
        </w:rPr>
        <w:t>对于我司日常抽检和客户反馈的异常</w:t>
      </w:r>
      <w:r>
        <w:rPr>
          <w:rFonts w:hint="eastAsia" w:ascii="宋体" w:hAnsi="宋体" w:eastAsia="宋体" w:cs="宋体"/>
          <w:sz w:val="24"/>
          <w:szCs w:val="24"/>
          <w:lang w:val="en-US" w:eastAsia="zh-CN"/>
        </w:rPr>
        <w:t>情况</w:t>
      </w:r>
      <w:r>
        <w:rPr>
          <w:rFonts w:hint="eastAsia" w:ascii="宋体" w:hAnsi="宋体" w:eastAsia="宋体" w:cs="宋体"/>
          <w:sz w:val="24"/>
          <w:szCs w:val="24"/>
        </w:rPr>
        <w:t>，</w:t>
      </w:r>
      <w:r>
        <w:rPr>
          <w:rFonts w:hint="eastAsia" w:ascii="宋体" w:hAnsi="宋体" w:eastAsia="宋体" w:cs="宋体"/>
          <w:sz w:val="24"/>
          <w:szCs w:val="24"/>
          <w:lang w:val="en-US" w:eastAsia="zh-CN"/>
        </w:rPr>
        <w:t>供应商</w:t>
      </w:r>
      <w:r>
        <w:rPr>
          <w:rFonts w:hint="eastAsia" w:ascii="宋体" w:hAnsi="宋体" w:eastAsia="宋体" w:cs="宋体"/>
          <w:sz w:val="24"/>
          <w:szCs w:val="24"/>
        </w:rPr>
        <w:t>需</w:t>
      </w:r>
      <w:r>
        <w:rPr>
          <w:rFonts w:hint="eastAsia" w:ascii="宋体" w:hAnsi="宋体" w:eastAsia="宋体" w:cs="宋体"/>
          <w:b/>
          <w:bCs/>
          <w:sz w:val="24"/>
          <w:szCs w:val="24"/>
          <w:highlight w:val="none"/>
          <w:lang w:val="en-US" w:eastAsia="zh-CN"/>
        </w:rPr>
        <w:t>半小时</w:t>
      </w:r>
      <w:r>
        <w:rPr>
          <w:rFonts w:hint="eastAsia" w:ascii="宋体" w:hAnsi="宋体" w:eastAsia="宋体" w:cs="宋体"/>
          <w:b/>
          <w:bCs/>
          <w:sz w:val="24"/>
          <w:szCs w:val="24"/>
          <w:highlight w:val="none"/>
        </w:rPr>
        <w:t>内</w:t>
      </w:r>
      <w:r>
        <w:rPr>
          <w:rFonts w:hint="eastAsia" w:ascii="宋体" w:hAnsi="宋体" w:eastAsia="宋体" w:cs="宋体"/>
          <w:b/>
          <w:bCs/>
          <w:sz w:val="24"/>
          <w:szCs w:val="24"/>
        </w:rPr>
        <w:t>响应</w:t>
      </w:r>
      <w:r>
        <w:rPr>
          <w:rFonts w:hint="eastAsia" w:ascii="宋体" w:hAnsi="宋体" w:eastAsia="宋体" w:cs="宋体"/>
          <w:b/>
          <w:bCs/>
          <w:sz w:val="24"/>
          <w:szCs w:val="24"/>
          <w:lang w:val="en-US" w:eastAsia="zh-CN"/>
        </w:rPr>
        <w:t>，安排人员对接</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当天内沟通确认</w:t>
      </w:r>
      <w:r>
        <w:rPr>
          <w:rFonts w:hint="eastAsia" w:ascii="宋体" w:hAnsi="宋体" w:eastAsia="宋体" w:cs="宋体"/>
          <w:b/>
          <w:bCs/>
          <w:sz w:val="24"/>
          <w:szCs w:val="24"/>
        </w:rPr>
        <w:t>处理方案</w:t>
      </w:r>
      <w:r>
        <w:rPr>
          <w:rFonts w:hint="eastAsia" w:ascii="宋体" w:hAnsi="宋体" w:eastAsia="宋体" w:cs="宋体"/>
          <w:sz w:val="24"/>
          <w:szCs w:val="24"/>
        </w:rPr>
        <w:t>（赔付方案、退换货方案），并于</w:t>
      </w:r>
      <w:r>
        <w:rPr>
          <w:rFonts w:hint="eastAsia" w:ascii="宋体" w:hAnsi="宋体" w:eastAsia="宋体" w:cs="宋体"/>
          <w:sz w:val="24"/>
          <w:szCs w:val="24"/>
          <w:lang w:val="en-US" w:eastAsia="zh-CN"/>
        </w:rPr>
        <w:t>24小时</w:t>
      </w:r>
      <w:r>
        <w:rPr>
          <w:rFonts w:hint="eastAsia" w:ascii="宋体" w:hAnsi="宋体" w:eastAsia="宋体" w:cs="宋体"/>
          <w:sz w:val="24"/>
          <w:szCs w:val="24"/>
        </w:rPr>
        <w:t>内将追溯原因和改善</w:t>
      </w:r>
      <w:r>
        <w:rPr>
          <w:rFonts w:hint="eastAsia" w:ascii="宋体" w:hAnsi="宋体" w:eastAsia="宋体" w:cs="宋体"/>
          <w:sz w:val="24"/>
          <w:szCs w:val="24"/>
          <w:lang w:val="en-US" w:eastAsia="zh-CN"/>
        </w:rPr>
        <w:t>方案</w:t>
      </w:r>
      <w:r>
        <w:rPr>
          <w:rFonts w:hint="eastAsia" w:ascii="宋体" w:hAnsi="宋体" w:eastAsia="宋体" w:cs="宋体"/>
          <w:sz w:val="24"/>
          <w:szCs w:val="24"/>
        </w:rPr>
        <w:t>告知我司。</w:t>
      </w:r>
    </w:p>
    <w:p>
      <w:pPr>
        <w:numPr>
          <w:ilvl w:val="0"/>
          <w:numId w:val="4"/>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rPr>
        <w:t>对不</w:t>
      </w:r>
      <w:r>
        <w:rPr>
          <w:rFonts w:hint="eastAsia" w:ascii="宋体" w:hAnsi="宋体" w:eastAsia="宋体" w:cs="宋体"/>
          <w:sz w:val="24"/>
          <w:szCs w:val="24"/>
          <w:lang w:val="en-US" w:eastAsia="zh-CN"/>
        </w:rPr>
        <w:t>合格</w:t>
      </w:r>
      <w:r>
        <w:rPr>
          <w:rFonts w:hint="eastAsia" w:ascii="宋体" w:hAnsi="宋体" w:eastAsia="宋体" w:cs="宋体"/>
          <w:sz w:val="24"/>
          <w:szCs w:val="24"/>
        </w:rPr>
        <w:t>品进行有效管理和处理：出现不</w:t>
      </w:r>
      <w:r>
        <w:rPr>
          <w:rFonts w:hint="eastAsia" w:ascii="宋体" w:hAnsi="宋体" w:eastAsia="宋体" w:cs="宋体"/>
          <w:sz w:val="24"/>
          <w:szCs w:val="24"/>
          <w:lang w:val="en-US" w:eastAsia="zh-CN"/>
        </w:rPr>
        <w:t>合格品</w:t>
      </w:r>
      <w:r>
        <w:rPr>
          <w:rFonts w:hint="eastAsia" w:ascii="宋体" w:hAnsi="宋体" w:eastAsia="宋体" w:cs="宋体"/>
          <w:sz w:val="24"/>
          <w:szCs w:val="24"/>
        </w:rPr>
        <w:t>时由供应商负责立即追溯及封存在工厂及市场上的不</w:t>
      </w:r>
      <w:r>
        <w:rPr>
          <w:rFonts w:hint="eastAsia" w:ascii="宋体" w:hAnsi="宋体" w:eastAsia="宋体" w:cs="宋体"/>
          <w:sz w:val="24"/>
          <w:szCs w:val="24"/>
          <w:lang w:val="en-US" w:eastAsia="zh-CN"/>
        </w:rPr>
        <w:t>合格</w:t>
      </w:r>
      <w:r>
        <w:rPr>
          <w:rFonts w:hint="eastAsia" w:ascii="宋体" w:hAnsi="宋体" w:eastAsia="宋体" w:cs="宋体"/>
          <w:sz w:val="24"/>
          <w:szCs w:val="24"/>
        </w:rPr>
        <w:t>品，确定影响范围，立即停线整改，并将整改结果告知我方。同时应将</w:t>
      </w:r>
      <w:r>
        <w:rPr>
          <w:rFonts w:hint="eastAsia" w:ascii="宋体" w:hAnsi="宋体" w:eastAsia="宋体" w:cs="宋体"/>
          <w:sz w:val="24"/>
          <w:szCs w:val="24"/>
          <w:lang w:eastAsia="zh-CN"/>
        </w:rPr>
        <w:t>不合格品</w:t>
      </w:r>
      <w:r>
        <w:rPr>
          <w:rFonts w:hint="eastAsia" w:ascii="宋体" w:hAnsi="宋体" w:eastAsia="宋体" w:cs="宋体"/>
          <w:sz w:val="24"/>
          <w:szCs w:val="24"/>
        </w:rPr>
        <w:t>隔离或监督销毁。</w:t>
      </w:r>
      <w:r>
        <w:rPr>
          <w:rFonts w:hint="eastAsia" w:ascii="宋体" w:hAnsi="宋体" w:eastAsia="宋体" w:cs="宋体"/>
          <w:sz w:val="24"/>
          <w:szCs w:val="24"/>
          <w:lang w:val="en-US" w:eastAsia="zh-CN"/>
        </w:rPr>
        <w:t>自事件发生时起</w:t>
      </w:r>
      <w:r>
        <w:rPr>
          <w:rFonts w:hint="eastAsia" w:ascii="宋体" w:hAnsi="宋体" w:eastAsia="宋体" w:cs="宋体"/>
          <w:sz w:val="24"/>
          <w:szCs w:val="24"/>
          <w:highlight w:val="none"/>
          <w:lang w:val="en-US" w:eastAsia="zh-CN"/>
        </w:rPr>
        <w:t>5个工作日内进行追溯与改善、提交</w:t>
      </w:r>
      <w:r>
        <w:rPr>
          <w:rFonts w:hint="eastAsia" w:ascii="宋体" w:hAnsi="宋体" w:eastAsia="宋体" w:cs="宋体"/>
          <w:sz w:val="24"/>
          <w:szCs w:val="24"/>
          <w:highlight w:val="none"/>
        </w:rPr>
        <w:t>问题分析与整改报告</w:t>
      </w:r>
      <w:r>
        <w:rPr>
          <w:rFonts w:hint="eastAsia" w:ascii="宋体" w:hAnsi="宋体" w:eastAsia="宋体" w:cs="宋体"/>
          <w:sz w:val="24"/>
          <w:szCs w:val="24"/>
          <w:highlight w:val="none"/>
          <w:lang w:eastAsia="zh-CN"/>
        </w:rPr>
        <w:t>。</w:t>
      </w:r>
    </w:p>
    <w:p>
      <w:pPr>
        <w:numPr>
          <w:ilvl w:val="0"/>
          <w:numId w:val="4"/>
        </w:numPr>
        <w:spacing w:line="360" w:lineRule="auto"/>
        <w:rPr>
          <w:rFonts w:hint="eastAsia" w:ascii="宋体" w:hAnsi="宋体" w:eastAsia="宋体" w:cs="宋体"/>
          <w:sz w:val="24"/>
          <w:szCs w:val="24"/>
        </w:rPr>
      </w:pPr>
      <w:r>
        <w:rPr>
          <w:rFonts w:hint="eastAsia" w:ascii="宋体" w:hAnsi="宋体" w:eastAsia="宋体" w:cs="宋体"/>
          <w:sz w:val="24"/>
          <w:szCs w:val="24"/>
        </w:rPr>
        <w:t>供应商需建立有效的质量手册、程序文件、</w:t>
      </w:r>
      <w:r>
        <w:rPr>
          <w:rFonts w:hint="eastAsia" w:ascii="宋体" w:hAnsi="宋体" w:eastAsia="宋体" w:cs="宋体"/>
          <w:sz w:val="24"/>
          <w:szCs w:val="24"/>
          <w:lang w:val="en-US" w:eastAsia="zh-CN"/>
        </w:rPr>
        <w:t>标准作业程序</w:t>
      </w:r>
      <w:r>
        <w:rPr>
          <w:rFonts w:hint="eastAsia" w:ascii="宋体" w:hAnsi="宋体" w:eastAsia="宋体" w:cs="宋体"/>
          <w:sz w:val="24"/>
          <w:szCs w:val="24"/>
        </w:rPr>
        <w:t>、记录报表等，利用品质管理工具进行数据分析，从问题本质上预防和解决问题。</w:t>
      </w:r>
    </w:p>
    <w:p>
      <w:pPr>
        <w:numPr>
          <w:ilvl w:val="0"/>
          <w:numId w:val="4"/>
        </w:numPr>
        <w:spacing w:line="360" w:lineRule="auto"/>
        <w:rPr>
          <w:rFonts w:hint="eastAsia" w:ascii="宋体" w:hAnsi="宋体" w:eastAsia="宋体" w:cs="宋体"/>
          <w:sz w:val="24"/>
          <w:szCs w:val="24"/>
        </w:rPr>
      </w:pPr>
      <w:r>
        <w:rPr>
          <w:rFonts w:hint="eastAsia" w:ascii="宋体" w:hAnsi="宋体" w:eastAsia="宋体" w:cs="宋体"/>
          <w:sz w:val="24"/>
          <w:szCs w:val="24"/>
        </w:rPr>
        <w:t>供应商需对上游供应商进行有效的控制，并形成制度，包含但不限于</w:t>
      </w:r>
      <w:r>
        <w:rPr>
          <w:rFonts w:hint="eastAsia" w:ascii="宋体" w:hAnsi="宋体" w:eastAsia="宋体" w:cs="宋体"/>
          <w:sz w:val="24"/>
          <w:szCs w:val="24"/>
          <w:lang w:eastAsia="zh-CN"/>
        </w:rPr>
        <w:t>供应商</w:t>
      </w:r>
      <w:r>
        <w:rPr>
          <w:rFonts w:hint="eastAsia" w:ascii="宋体" w:hAnsi="宋体" w:eastAsia="宋体" w:cs="宋体"/>
          <w:sz w:val="24"/>
          <w:szCs w:val="24"/>
        </w:rPr>
        <w:t>评审、停货、整改、淘汰机制，实施合格准入制度，对所供原材料实施验收标准。</w:t>
      </w:r>
    </w:p>
    <w:p>
      <w:pPr>
        <w:numPr>
          <w:ilvl w:val="0"/>
          <w:numId w:val="4"/>
        </w:numPr>
        <w:spacing w:line="360" w:lineRule="auto"/>
        <w:rPr>
          <w:rFonts w:hint="eastAsia" w:ascii="宋体" w:hAnsi="宋体" w:eastAsia="宋体" w:cs="宋体"/>
          <w:sz w:val="24"/>
          <w:szCs w:val="24"/>
        </w:rPr>
      </w:pPr>
      <w:r>
        <w:rPr>
          <w:rFonts w:hint="eastAsia" w:ascii="宋体" w:hAnsi="宋体" w:eastAsia="宋体" w:cs="宋体"/>
          <w:sz w:val="24"/>
          <w:szCs w:val="24"/>
        </w:rPr>
        <w:t>建立有效的虫害防控机制，并形成制度文件，防控措施需立体完整，包含物理杀灭、化学消杀</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虫害分析</w:t>
      </w:r>
      <w:r>
        <w:rPr>
          <w:rFonts w:hint="eastAsia" w:ascii="宋体" w:hAnsi="宋体" w:eastAsia="宋体" w:cs="宋体"/>
          <w:sz w:val="24"/>
          <w:szCs w:val="24"/>
        </w:rPr>
        <w:t>等。</w:t>
      </w:r>
    </w:p>
    <w:p>
      <w:pPr>
        <w:pStyle w:val="5"/>
        <w:rPr>
          <w:rFonts w:hint="eastAsia" w:ascii="宋体" w:hAnsi="宋体" w:eastAsia="宋体" w:cs="宋体"/>
          <w:sz w:val="24"/>
          <w:szCs w:val="24"/>
        </w:rPr>
      </w:pPr>
      <w:r>
        <w:rPr>
          <w:rFonts w:hint="eastAsia" w:ascii="宋体" w:hAnsi="宋体" w:eastAsia="宋体" w:cs="宋体"/>
          <w:sz w:val="24"/>
          <w:szCs w:val="24"/>
        </w:rPr>
        <w:t>四、对接小组</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供应商需设立与我司对接小组，小组成员包含：采购对接人员、品质问题处理人员、能有效推动品质管理改善升级人员</w:t>
      </w:r>
      <w:r>
        <w:rPr>
          <w:rFonts w:hint="eastAsia" w:ascii="宋体" w:hAnsi="宋体" w:eastAsia="宋体" w:cs="宋体"/>
          <w:sz w:val="24"/>
          <w:szCs w:val="24"/>
          <w:lang w:eastAsia="zh-CN"/>
        </w:rPr>
        <w:t>。</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供应商对服务人员进行培训，使员工得到工作必须的履约要求、产品标准、等业务知识，熟悉</w:t>
      </w:r>
      <w:r>
        <w:rPr>
          <w:rFonts w:hint="eastAsia" w:ascii="宋体" w:hAnsi="宋体" w:eastAsia="宋体" w:cs="宋体"/>
          <w:sz w:val="24"/>
          <w:szCs w:val="24"/>
          <w:lang w:val="en-US" w:eastAsia="zh-CN"/>
        </w:rPr>
        <w:t>业务流程</w:t>
      </w:r>
      <w:r>
        <w:rPr>
          <w:rFonts w:hint="eastAsia" w:ascii="宋体" w:hAnsi="宋体" w:eastAsia="宋体" w:cs="宋体"/>
          <w:sz w:val="24"/>
          <w:szCs w:val="24"/>
        </w:rPr>
        <w:t>。</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对接小组主要负责日常品质问题的处理、常出现问题的追溯改善及我司项目人员的工作对接等工作：</w:t>
      </w:r>
    </w:p>
    <w:p>
      <w:pPr>
        <w:numPr>
          <w:ilvl w:val="0"/>
          <w:numId w:val="6"/>
        </w:numPr>
        <w:spacing w:line="360" w:lineRule="auto"/>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lang w:val="en-US" w:eastAsia="zh-CN"/>
        </w:rPr>
        <w:t>并</w:t>
      </w:r>
      <w:r>
        <w:rPr>
          <w:rFonts w:hint="eastAsia" w:ascii="宋体" w:hAnsi="宋体" w:eastAsia="宋体" w:cs="宋体"/>
          <w:sz w:val="24"/>
          <w:szCs w:val="24"/>
        </w:rPr>
        <w:t>配合我司客服进行退换货及产生的赔付款赔付。对</w:t>
      </w:r>
      <w:r>
        <w:rPr>
          <w:rFonts w:hint="eastAsia" w:ascii="宋体" w:hAnsi="宋体" w:eastAsia="宋体" w:cs="宋体"/>
          <w:sz w:val="24"/>
          <w:szCs w:val="24"/>
          <w:lang w:eastAsia="zh-CN"/>
        </w:rPr>
        <w:t>不合格品</w:t>
      </w:r>
      <w:r>
        <w:rPr>
          <w:rFonts w:hint="eastAsia" w:ascii="宋体" w:hAnsi="宋体" w:eastAsia="宋体" w:cs="宋体"/>
          <w:sz w:val="24"/>
          <w:szCs w:val="24"/>
        </w:rPr>
        <w:t>进行原因分析，及反馈改善。</w:t>
      </w:r>
    </w:p>
    <w:p>
      <w:pPr>
        <w:numPr>
          <w:ilvl w:val="0"/>
          <w:numId w:val="6"/>
        </w:num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需对反馈不良建立台账，针对数据反馈组织可持续的立项整改。</w:t>
      </w:r>
    </w:p>
    <w:p>
      <w:pPr>
        <w:numPr>
          <w:ilvl w:val="0"/>
          <w:numId w:val="6"/>
        </w:numPr>
        <w:spacing w:line="360" w:lineRule="auto"/>
        <w:rPr>
          <w:rFonts w:hint="eastAsia" w:ascii="宋体" w:hAnsi="宋体" w:eastAsia="宋体" w:cs="宋体"/>
          <w:sz w:val="24"/>
          <w:szCs w:val="24"/>
        </w:rPr>
      </w:pPr>
      <w:r>
        <w:rPr>
          <w:rFonts w:hint="eastAsia" w:ascii="宋体" w:hAnsi="宋体" w:eastAsia="宋体" w:cs="宋体"/>
          <w:sz w:val="24"/>
          <w:szCs w:val="24"/>
        </w:rPr>
        <w:t>我司提供客户要求，包含特殊产品标准及履约要求。</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常见问题快速退换货处理方案：</w:t>
      </w:r>
    </w:p>
    <w:p>
      <w:pPr>
        <w:numPr>
          <w:ilvl w:val="0"/>
          <w:numId w:val="7"/>
        </w:numPr>
        <w:spacing w:line="360" w:lineRule="auto"/>
        <w:rPr>
          <w:rFonts w:hint="eastAsia" w:ascii="宋体" w:hAnsi="宋体" w:eastAsia="宋体" w:cs="宋体"/>
          <w:sz w:val="24"/>
          <w:szCs w:val="24"/>
        </w:rPr>
      </w:pPr>
      <w:r>
        <w:rPr>
          <w:rFonts w:hint="eastAsia" w:ascii="宋体" w:hAnsi="宋体" w:eastAsia="宋体" w:cs="宋体"/>
          <w:sz w:val="24"/>
          <w:szCs w:val="24"/>
        </w:rPr>
        <w:t>退换货：当面交接-问题产品直接无理由退换，带回后在指定接收时间内交付补货产品；信用交接-问题产品当天处理补货，补货送到后带回退换产品进行核实与处理，客户原因产生的问题，退换货不计入供应商考核；</w:t>
      </w:r>
    </w:p>
    <w:p>
      <w:pPr>
        <w:numPr>
          <w:ilvl w:val="0"/>
          <w:numId w:val="7"/>
        </w:numPr>
        <w:spacing w:line="360" w:lineRule="auto"/>
        <w:rPr>
          <w:rFonts w:hint="eastAsia" w:ascii="宋体" w:hAnsi="宋体" w:eastAsia="宋体" w:cs="宋体"/>
          <w:sz w:val="24"/>
          <w:szCs w:val="24"/>
        </w:rPr>
      </w:pPr>
      <w:r>
        <w:rPr>
          <w:rFonts w:hint="eastAsia" w:ascii="宋体" w:hAnsi="宋体" w:eastAsia="宋体" w:cs="宋体"/>
          <w:sz w:val="24"/>
          <w:szCs w:val="24"/>
        </w:rPr>
        <w:t>跨组织协作：供应商-回收货品后检查核实，判定是否属实，有异议的提交至客服判定责任，后自行处理</w:t>
      </w:r>
      <w:r>
        <w:rPr>
          <w:rFonts w:hint="eastAsia" w:ascii="宋体" w:hAnsi="宋体" w:eastAsia="宋体" w:cs="宋体"/>
          <w:sz w:val="24"/>
          <w:szCs w:val="24"/>
          <w:lang w:eastAsia="zh-CN"/>
        </w:rPr>
        <w:t>不合格品</w:t>
      </w:r>
      <w:r>
        <w:rPr>
          <w:rFonts w:hint="eastAsia" w:ascii="宋体" w:hAnsi="宋体" w:eastAsia="宋体" w:cs="宋体"/>
          <w:sz w:val="24"/>
          <w:szCs w:val="24"/>
        </w:rPr>
        <w:t>；仓配-回收货品后，根据产品性质沟通供应商，暂存或就地报废；供应商送货时联系仓配对接人将问题产品取回。</w:t>
      </w:r>
    </w:p>
    <w:p>
      <w:pPr>
        <w:pStyle w:val="5"/>
        <w:rPr>
          <w:rFonts w:hint="eastAsia" w:ascii="宋体" w:hAnsi="宋体" w:eastAsia="宋体" w:cs="宋体"/>
          <w:sz w:val="24"/>
          <w:szCs w:val="24"/>
        </w:rPr>
      </w:pPr>
      <w:r>
        <w:rPr>
          <w:rFonts w:hint="eastAsia" w:ascii="宋体" w:hAnsi="宋体" w:eastAsia="宋体" w:cs="宋体"/>
          <w:sz w:val="24"/>
          <w:szCs w:val="24"/>
        </w:rPr>
        <w:t>五、变更管理</w:t>
      </w:r>
    </w:p>
    <w:p>
      <w:pPr>
        <w:numPr>
          <w:ilvl w:val="0"/>
          <w:numId w:val="8"/>
        </w:numPr>
        <w:spacing w:line="360" w:lineRule="auto"/>
        <w:rPr>
          <w:rFonts w:hint="eastAsia" w:ascii="宋体" w:hAnsi="宋体" w:eastAsia="宋体" w:cs="宋体"/>
          <w:sz w:val="24"/>
          <w:szCs w:val="24"/>
        </w:rPr>
      </w:pPr>
      <w:r>
        <w:rPr>
          <w:rFonts w:hint="eastAsia" w:ascii="宋体" w:hAnsi="宋体" w:eastAsia="宋体" w:cs="宋体"/>
          <w:sz w:val="24"/>
          <w:szCs w:val="24"/>
        </w:rPr>
        <w:t>产品变更包括但不限于以下内容：</w:t>
      </w:r>
    </w:p>
    <w:p>
      <w:pPr>
        <w:numPr>
          <w:ilvl w:val="0"/>
          <w:numId w:val="9"/>
        </w:numPr>
        <w:spacing w:line="360" w:lineRule="auto"/>
        <w:rPr>
          <w:rFonts w:hint="eastAsia" w:ascii="宋体" w:hAnsi="宋体" w:eastAsia="宋体" w:cs="宋体"/>
          <w:sz w:val="24"/>
          <w:szCs w:val="24"/>
        </w:rPr>
      </w:pPr>
      <w:r>
        <w:rPr>
          <w:rFonts w:hint="eastAsia" w:ascii="宋体" w:hAnsi="宋体" w:eastAsia="宋体" w:cs="宋体"/>
          <w:sz w:val="24"/>
          <w:szCs w:val="24"/>
        </w:rPr>
        <w:t>产品变化，包含品牌、规格、品种、加工尺寸等，以及配料或配料比例的变更</w:t>
      </w:r>
    </w:p>
    <w:p>
      <w:pPr>
        <w:numPr>
          <w:ilvl w:val="0"/>
          <w:numId w:val="9"/>
        </w:numPr>
        <w:spacing w:line="360" w:lineRule="auto"/>
        <w:rPr>
          <w:rFonts w:hint="eastAsia" w:ascii="宋体" w:hAnsi="宋体" w:eastAsia="宋体" w:cs="宋体"/>
          <w:sz w:val="24"/>
          <w:szCs w:val="24"/>
        </w:rPr>
      </w:pPr>
      <w:r>
        <w:rPr>
          <w:rFonts w:hint="eastAsia" w:ascii="宋体" w:hAnsi="宋体" w:eastAsia="宋体" w:cs="宋体"/>
          <w:sz w:val="24"/>
          <w:szCs w:val="24"/>
        </w:rPr>
        <w:t>产品生产设备或产品生产工艺的变更</w:t>
      </w:r>
    </w:p>
    <w:p>
      <w:pPr>
        <w:numPr>
          <w:ilvl w:val="0"/>
          <w:numId w:val="9"/>
        </w:numPr>
        <w:spacing w:line="360" w:lineRule="auto"/>
        <w:rPr>
          <w:rFonts w:hint="eastAsia" w:ascii="宋体" w:hAnsi="宋体" w:eastAsia="宋体" w:cs="宋体"/>
          <w:sz w:val="24"/>
          <w:szCs w:val="24"/>
        </w:rPr>
      </w:pPr>
      <w:r>
        <w:rPr>
          <w:rFonts w:hint="eastAsia" w:ascii="宋体" w:hAnsi="宋体" w:eastAsia="宋体" w:cs="宋体"/>
          <w:sz w:val="24"/>
          <w:szCs w:val="24"/>
        </w:rPr>
        <w:t>上游供应商的变更及上游供应商所供原材料的以上项目的变更</w:t>
      </w:r>
    </w:p>
    <w:p>
      <w:pPr>
        <w:numPr>
          <w:ilvl w:val="0"/>
          <w:numId w:val="8"/>
        </w:numPr>
        <w:spacing w:line="360" w:lineRule="auto"/>
        <w:rPr>
          <w:rFonts w:hint="eastAsia" w:ascii="宋体" w:hAnsi="宋体" w:eastAsia="宋体" w:cs="宋体"/>
          <w:sz w:val="24"/>
          <w:szCs w:val="24"/>
        </w:rPr>
      </w:pPr>
      <w:r>
        <w:rPr>
          <w:rFonts w:hint="eastAsia" w:ascii="宋体" w:hAnsi="宋体" w:eastAsia="宋体" w:cs="宋体"/>
          <w:sz w:val="24"/>
          <w:szCs w:val="24"/>
        </w:rPr>
        <w:t>当产品发生以上变更时，需告知我司，视变更等级安排三方检测，产品档案更新和样品评估；评估通过后，更新产品标准或规格书发送至供应商，方可执行变更。</w:t>
      </w:r>
    </w:p>
    <w:p>
      <w:pPr>
        <w:pStyle w:val="5"/>
        <w:rPr>
          <w:rFonts w:hint="eastAsia" w:ascii="宋体" w:hAnsi="宋体" w:eastAsia="宋体" w:cs="宋体"/>
          <w:sz w:val="24"/>
          <w:szCs w:val="24"/>
        </w:rPr>
      </w:pPr>
      <w:r>
        <w:rPr>
          <w:rFonts w:hint="eastAsia" w:ascii="宋体" w:hAnsi="宋体" w:eastAsia="宋体" w:cs="宋体"/>
          <w:sz w:val="24"/>
          <w:szCs w:val="24"/>
        </w:rPr>
        <w:t>六、品质绩效</w:t>
      </w:r>
    </w:p>
    <w:p>
      <w:pPr>
        <w:numPr>
          <w:ilvl w:val="0"/>
          <w:numId w:val="10"/>
        </w:numPr>
        <w:spacing w:line="360" w:lineRule="auto"/>
        <w:rPr>
          <w:rFonts w:hint="eastAsia" w:ascii="宋体" w:hAnsi="宋体" w:eastAsia="宋体" w:cs="宋体"/>
          <w:sz w:val="24"/>
          <w:szCs w:val="24"/>
        </w:rPr>
      </w:pPr>
      <w:r>
        <w:rPr>
          <w:rFonts w:hint="eastAsia" w:ascii="宋体" w:hAnsi="宋体" w:eastAsia="宋体" w:cs="宋体"/>
          <w:sz w:val="24"/>
          <w:szCs w:val="24"/>
        </w:rPr>
        <w:t>在合同中</w:t>
      </w:r>
      <w:r>
        <w:rPr>
          <w:rFonts w:hint="eastAsia" w:ascii="宋体" w:hAnsi="宋体" w:eastAsia="宋体" w:cs="宋体"/>
          <w:sz w:val="24"/>
          <w:szCs w:val="24"/>
          <w:lang w:val="en-US" w:eastAsia="zh-CN"/>
        </w:rPr>
        <w:t>确认</w:t>
      </w:r>
      <w:r>
        <w:rPr>
          <w:rFonts w:hint="eastAsia" w:ascii="宋体" w:hAnsi="宋体" w:eastAsia="宋体" w:cs="宋体"/>
          <w:sz w:val="24"/>
          <w:szCs w:val="24"/>
        </w:rPr>
        <w:t>供应商质量保证金条款，质量保证金用于供应商质量考核。</w:t>
      </w:r>
    </w:p>
    <w:p>
      <w:pPr>
        <w:numPr>
          <w:ilvl w:val="0"/>
          <w:numId w:val="10"/>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rPr>
        <w:t>供应商质量</w:t>
      </w:r>
      <w:r>
        <w:rPr>
          <w:rFonts w:hint="eastAsia" w:ascii="宋体" w:hAnsi="宋体" w:eastAsia="宋体" w:cs="宋体"/>
          <w:sz w:val="24"/>
          <w:szCs w:val="24"/>
          <w:lang w:val="en-US" w:eastAsia="zh-CN"/>
        </w:rPr>
        <w:t>监控及考核要求请见附件4《食材供应商考核标准》。</w:t>
      </w:r>
    </w:p>
    <w:p>
      <w:pPr>
        <w:pStyle w:val="5"/>
        <w:rPr>
          <w:rFonts w:hint="eastAsia" w:ascii="宋体" w:hAnsi="宋体" w:eastAsia="宋体" w:cs="宋体"/>
          <w:sz w:val="24"/>
          <w:szCs w:val="24"/>
        </w:rPr>
      </w:pPr>
      <w:r>
        <w:rPr>
          <w:rFonts w:hint="eastAsia" w:ascii="宋体" w:hAnsi="宋体" w:eastAsia="宋体" w:cs="宋体"/>
          <w:sz w:val="24"/>
          <w:szCs w:val="24"/>
        </w:rPr>
        <w:t>七、定期审核</w:t>
      </w:r>
    </w:p>
    <w:p>
      <w:pPr>
        <w:numPr>
          <w:ilvl w:val="0"/>
          <w:numId w:val="11"/>
        </w:numPr>
        <w:spacing w:line="360" w:lineRule="auto"/>
        <w:rPr>
          <w:rFonts w:hint="eastAsia" w:ascii="宋体" w:hAnsi="宋体" w:eastAsia="宋体" w:cs="宋体"/>
          <w:sz w:val="24"/>
          <w:szCs w:val="24"/>
        </w:rPr>
      </w:pPr>
      <w:r>
        <w:rPr>
          <w:rFonts w:hint="eastAsia" w:ascii="宋体" w:hAnsi="宋体" w:eastAsia="宋体" w:cs="宋体"/>
          <w:sz w:val="24"/>
          <w:szCs w:val="24"/>
        </w:rPr>
        <w:t>我司根据实际情况，对供应商进行审核，</w:t>
      </w:r>
      <w:r>
        <w:rPr>
          <w:rFonts w:hint="eastAsia" w:ascii="宋体" w:hAnsi="宋体" w:eastAsia="宋体" w:cs="宋体"/>
          <w:sz w:val="24"/>
          <w:szCs w:val="24"/>
          <w:highlight w:val="none"/>
        </w:rPr>
        <w:t>有年度GFSI证书的首年度免检，包括BRC、CANADA GAP、FSSC22000、GAA、GLOBAL G.A.P、GRMS、IFS、SQF、PrimusGFS、China HACCP（</w:t>
      </w:r>
      <w:r>
        <w:rPr>
          <w:rFonts w:hint="eastAsia" w:ascii="宋体" w:hAnsi="宋体" w:eastAsia="宋体" w:cs="宋体"/>
          <w:sz w:val="24"/>
          <w:szCs w:val="24"/>
          <w:highlight w:val="none"/>
          <w:lang w:val="en-US" w:eastAsia="zh-CN"/>
        </w:rPr>
        <w:t>或其他</w:t>
      </w:r>
      <w:r>
        <w:rPr>
          <w:rFonts w:hint="eastAsia" w:ascii="宋体" w:hAnsi="宋体" w:eastAsia="宋体" w:cs="宋体"/>
          <w:sz w:val="24"/>
          <w:szCs w:val="24"/>
          <w:highlight w:val="none"/>
        </w:rPr>
        <w:t>技术等同性认可）</w:t>
      </w:r>
      <w:r>
        <w:rPr>
          <w:rFonts w:hint="eastAsia" w:ascii="宋体" w:hAnsi="宋体" w:eastAsia="宋体" w:cs="宋体"/>
          <w:sz w:val="24"/>
          <w:szCs w:val="24"/>
          <w:highlight w:val="none"/>
          <w:lang w:eastAsia="zh-CN"/>
        </w:rPr>
        <w:t>；</w:t>
      </w:r>
      <w:r>
        <w:rPr>
          <w:rFonts w:hint="eastAsia" w:ascii="宋体" w:hAnsi="宋体" w:eastAsia="宋体" w:cs="宋体"/>
          <w:sz w:val="24"/>
          <w:szCs w:val="24"/>
        </w:rPr>
        <w:t>原则上不少于一年一次。</w:t>
      </w:r>
      <w:r>
        <w:rPr>
          <w:rFonts w:hint="eastAsia" w:ascii="宋体" w:hAnsi="宋体" w:eastAsia="宋体" w:cs="宋体"/>
          <w:sz w:val="24"/>
          <w:szCs w:val="24"/>
          <w:lang w:eastAsia="zh-CN"/>
        </w:rPr>
        <w:t>供应商</w:t>
      </w:r>
      <w:r>
        <w:rPr>
          <w:rFonts w:hint="eastAsia" w:ascii="宋体" w:hAnsi="宋体" w:eastAsia="宋体" w:cs="宋体"/>
          <w:sz w:val="24"/>
          <w:szCs w:val="24"/>
        </w:rPr>
        <w:t>有责对审核中发现的问题进行整改，并将整改结果反馈。</w:t>
      </w:r>
    </w:p>
    <w:p>
      <w:pPr>
        <w:numPr>
          <w:ilvl w:val="0"/>
          <w:numId w:val="11"/>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根据品质、供货配合度等情况，</w:t>
      </w:r>
      <w:r>
        <w:rPr>
          <w:rFonts w:hint="eastAsia" w:ascii="宋体" w:hAnsi="宋体" w:eastAsia="宋体" w:cs="宋体"/>
          <w:sz w:val="24"/>
          <w:szCs w:val="24"/>
          <w:lang w:eastAsia="zh-CN"/>
        </w:rPr>
        <w:t>供应商</w:t>
      </w:r>
      <w:r>
        <w:rPr>
          <w:rFonts w:hint="eastAsia" w:ascii="宋体" w:hAnsi="宋体" w:eastAsia="宋体" w:cs="宋体"/>
          <w:sz w:val="24"/>
          <w:szCs w:val="24"/>
        </w:rPr>
        <w:t>对接小组需根据我司实际要求参加月度会议。会议内容包括品质问题追溯改善、供货配合度等</w:t>
      </w:r>
      <w:r>
        <w:rPr>
          <w:rFonts w:hint="eastAsia" w:ascii="宋体" w:hAnsi="宋体" w:eastAsia="宋体" w:cs="宋体"/>
          <w:sz w:val="24"/>
          <w:szCs w:val="24"/>
          <w:lang w:eastAsia="zh-CN"/>
        </w:rPr>
        <w:t>供应商</w:t>
      </w:r>
      <w:r>
        <w:rPr>
          <w:rFonts w:hint="eastAsia" w:ascii="宋体" w:hAnsi="宋体" w:eastAsia="宋体" w:cs="宋体"/>
          <w:sz w:val="24"/>
          <w:szCs w:val="24"/>
        </w:rPr>
        <w:t>代表需提供上月问题追溯改善方案与结果。</w:t>
      </w:r>
    </w:p>
    <w:p>
      <w:pPr>
        <w:widowControl w:val="0"/>
        <w:kinsoku/>
        <w:autoSpaceDE/>
        <w:autoSpaceDN/>
        <w:adjustRightInd/>
        <w:snapToGrid/>
        <w:spacing w:line="360" w:lineRule="auto"/>
        <w:ind w:firstLine="480" w:firstLineChars="200"/>
        <w:jc w:val="both"/>
        <w:textAlignment w:val="auto"/>
        <w:rPr>
          <w:rFonts w:hint="eastAsia" w:ascii="宋体" w:hAnsi="宋体" w:eastAsia="宋体" w:cs="宋体"/>
          <w:b/>
          <w:snapToGrid w:val="0"/>
          <w:color w:val="000000"/>
          <w:kern w:val="0"/>
          <w:sz w:val="24"/>
          <w:szCs w:val="24"/>
          <w:lang w:val="en-US" w:eastAsia="en-US"/>
          <w14:ligatures w14:val="none"/>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lang w:val="en-US" w:eastAsia="zh-CN"/>
          <w14:ligatures w14:val="none"/>
        </w:rPr>
      </w:pPr>
      <w:r>
        <w:rPr>
          <w:rFonts w:hint="eastAsia" w:ascii="宋体" w:hAnsi="宋体" w:eastAsia="宋体" w:cs="宋体"/>
          <w:b w:val="0"/>
          <w:snapToGrid/>
          <w:color w:val="000000"/>
          <w:kern w:val="2"/>
          <w:sz w:val="24"/>
          <w:szCs w:val="24"/>
          <w:lang w:val="en-US" w:eastAsia="zh-CN"/>
          <w14:ligatures w14:val="none"/>
        </w:rPr>
        <w:t>附件4</w:t>
      </w:r>
      <w:r>
        <w:rPr>
          <w:rFonts w:hint="eastAsia" w:ascii="宋体" w:hAnsi="宋体" w:eastAsia="宋体" w:cs="宋体"/>
          <w:snapToGrid/>
          <w:color w:val="000000"/>
          <w:kern w:val="2"/>
          <w:sz w:val="24"/>
          <w:szCs w:val="24"/>
          <w:lang w:val="en-US" w:eastAsia="zh-CN"/>
          <w14:ligatures w14:val="none"/>
        </w:rPr>
        <w:t>：食材供应商考核标准</w:t>
      </w:r>
    </w:p>
    <w:tbl>
      <w:tblPr>
        <w:tblStyle w:val="12"/>
        <w:tblW w:w="89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7"/>
        <w:gridCol w:w="741"/>
        <w:gridCol w:w="2605"/>
        <w:gridCol w:w="483"/>
        <w:gridCol w:w="1812"/>
        <w:gridCol w:w="2169"/>
        <w:gridCol w:w="6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trPr>
        <w:tc>
          <w:tcPr>
            <w:tcW w:w="8916" w:type="dxa"/>
            <w:gridSpan w:val="7"/>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b/>
                <w:bCs/>
                <w:i w:val="0"/>
                <w:iCs w:val="0"/>
                <w:color w:val="000000" w:themeColor="text1"/>
                <w:sz w:val="28"/>
                <w:szCs w:val="28"/>
                <w:u w:val="none"/>
                <w14:textFill>
                  <w14:solidFill>
                    <w14:schemeClr w14:val="tx1"/>
                  </w14:solidFill>
                </w14:textFill>
              </w:rPr>
            </w:pPr>
            <w:r>
              <w:rPr>
                <w:rFonts w:hint="eastAsia" w:ascii="等线" w:hAnsi="等线" w:eastAsia="等线" w:cs="等线"/>
                <w:b/>
                <w:bCs/>
                <w:i w:val="0"/>
                <w:iCs w:val="0"/>
                <w:color w:val="000000" w:themeColor="text1"/>
                <w:kern w:val="0"/>
                <w:sz w:val="28"/>
                <w:szCs w:val="28"/>
                <w:u w:val="none"/>
                <w:lang w:val="en-US" w:eastAsia="zh-CN" w:bidi="ar"/>
                <w14:textFill>
                  <w14:solidFill>
                    <w14:schemeClr w14:val="tx1"/>
                  </w14:solidFill>
                </w14:textFill>
              </w:rPr>
              <w:t>商品采购考核标准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43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themeColor="text1"/>
                <w:sz w:val="22"/>
                <w:szCs w:val="22"/>
                <w:u w:val="none"/>
                <w14:textFill>
                  <w14:solidFill>
                    <w14:schemeClr w14:val="tx1"/>
                  </w14:solidFill>
                </w14:textFill>
              </w:rPr>
            </w:pPr>
            <w:r>
              <w:rPr>
                <w:rFonts w:hint="eastAsia" w:ascii="等线" w:hAnsi="等线" w:eastAsia="等线" w:cs="等线"/>
                <w:b/>
                <w:bCs/>
                <w:i w:val="0"/>
                <w:iCs w:val="0"/>
                <w:color w:val="000000" w:themeColor="text1"/>
                <w:kern w:val="0"/>
                <w:sz w:val="22"/>
                <w:szCs w:val="22"/>
                <w:u w:val="none"/>
                <w:lang w:val="en-US" w:eastAsia="zh-CN" w:bidi="ar"/>
                <w14:textFill>
                  <w14:solidFill>
                    <w14:schemeClr w14:val="tx1"/>
                  </w14:solidFill>
                </w14:textFill>
              </w:rPr>
              <w:t>类别</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themeColor="text1"/>
                <w:sz w:val="22"/>
                <w:szCs w:val="22"/>
                <w:u w:val="none"/>
                <w14:textFill>
                  <w14:solidFill>
                    <w14:schemeClr w14:val="tx1"/>
                  </w14:solidFill>
                </w14:textFill>
              </w:rPr>
            </w:pPr>
            <w:r>
              <w:rPr>
                <w:rFonts w:hint="eastAsia" w:ascii="等线" w:hAnsi="等线" w:eastAsia="等线" w:cs="等线"/>
                <w:b/>
                <w:bCs/>
                <w:i w:val="0"/>
                <w:iCs w:val="0"/>
                <w:color w:val="000000" w:themeColor="text1"/>
                <w:kern w:val="0"/>
                <w:sz w:val="22"/>
                <w:szCs w:val="22"/>
                <w:u w:val="none"/>
                <w:lang w:val="en-US" w:eastAsia="zh-CN" w:bidi="ar"/>
                <w14:textFill>
                  <w14:solidFill>
                    <w14:schemeClr w14:val="tx1"/>
                  </w14:solidFill>
                </w14:textFill>
              </w:rPr>
              <w:t>项目</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themeColor="text1"/>
                <w:sz w:val="22"/>
                <w:szCs w:val="22"/>
                <w:u w:val="none"/>
                <w14:textFill>
                  <w14:solidFill>
                    <w14:schemeClr w14:val="tx1"/>
                  </w14:solidFill>
                </w14:textFill>
              </w:rPr>
            </w:pPr>
            <w:r>
              <w:rPr>
                <w:rFonts w:hint="eastAsia" w:ascii="等线" w:hAnsi="等线" w:eastAsia="等线" w:cs="等线"/>
                <w:b/>
                <w:bCs/>
                <w:i w:val="0"/>
                <w:iCs w:val="0"/>
                <w:color w:val="000000" w:themeColor="text1"/>
                <w:kern w:val="0"/>
                <w:sz w:val="22"/>
                <w:szCs w:val="22"/>
                <w:u w:val="none"/>
                <w:lang w:val="en-US" w:eastAsia="zh-CN" w:bidi="ar"/>
                <w14:textFill>
                  <w14:solidFill>
                    <w14:schemeClr w14:val="tx1"/>
                  </w14:solidFill>
                </w14:textFill>
              </w:rPr>
              <w:t>情况描述</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themeColor="text1"/>
                <w:sz w:val="22"/>
                <w:szCs w:val="22"/>
                <w:u w:val="none"/>
                <w14:textFill>
                  <w14:solidFill>
                    <w14:schemeClr w14:val="tx1"/>
                  </w14:solidFill>
                </w14:textFill>
              </w:rPr>
            </w:pPr>
            <w:r>
              <w:rPr>
                <w:rFonts w:hint="eastAsia" w:ascii="等线" w:hAnsi="等线" w:eastAsia="等线" w:cs="等线"/>
                <w:b/>
                <w:bCs/>
                <w:i w:val="0"/>
                <w:iCs w:val="0"/>
                <w:color w:val="000000" w:themeColor="text1"/>
                <w:kern w:val="0"/>
                <w:sz w:val="22"/>
                <w:szCs w:val="22"/>
                <w:u w:val="none"/>
                <w:lang w:val="en-US" w:eastAsia="zh-CN" w:bidi="ar"/>
                <w14:textFill>
                  <w14:solidFill>
                    <w14:schemeClr w14:val="tx1"/>
                  </w14:solidFill>
                </w14:textFill>
              </w:rPr>
              <w:t>风险</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themeColor="text1"/>
                <w:sz w:val="22"/>
                <w:szCs w:val="22"/>
                <w:u w:val="none"/>
                <w14:textFill>
                  <w14:solidFill>
                    <w14:schemeClr w14:val="tx1"/>
                  </w14:solidFill>
                </w14:textFill>
              </w:rPr>
            </w:pPr>
            <w:r>
              <w:rPr>
                <w:rFonts w:hint="eastAsia" w:ascii="等线" w:hAnsi="等线" w:eastAsia="等线" w:cs="等线"/>
                <w:b/>
                <w:bCs/>
                <w:i w:val="0"/>
                <w:iCs w:val="0"/>
                <w:color w:val="000000" w:themeColor="text1"/>
                <w:kern w:val="0"/>
                <w:sz w:val="22"/>
                <w:szCs w:val="22"/>
                <w:u w:val="none"/>
                <w:lang w:val="en-US" w:eastAsia="zh-CN" w:bidi="ar"/>
                <w14:textFill>
                  <w14:solidFill>
                    <w14:schemeClr w14:val="tx1"/>
                  </w14:solidFill>
                </w14:textFill>
              </w:rPr>
              <w:t>考核评价标准</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themeColor="text1"/>
                <w:sz w:val="22"/>
                <w:szCs w:val="22"/>
                <w:u w:val="none"/>
                <w14:textFill>
                  <w14:solidFill>
                    <w14:schemeClr w14:val="tx1"/>
                  </w14:solidFill>
                </w14:textFill>
              </w:rPr>
            </w:pPr>
            <w:r>
              <w:rPr>
                <w:rFonts w:hint="eastAsia" w:ascii="等线" w:hAnsi="等线" w:eastAsia="等线" w:cs="等线"/>
                <w:b/>
                <w:bCs/>
                <w:i w:val="0"/>
                <w:iCs w:val="0"/>
                <w:color w:val="000000" w:themeColor="text1"/>
                <w:kern w:val="0"/>
                <w:sz w:val="22"/>
                <w:szCs w:val="22"/>
                <w:u w:val="none"/>
                <w:lang w:val="en-US" w:eastAsia="zh-CN" w:bidi="ar"/>
                <w14:textFill>
                  <w14:solidFill>
                    <w14:schemeClr w14:val="tx1"/>
                  </w14:solidFill>
                </w14:textFill>
              </w:rPr>
              <w:t>考核周期/金额</w:t>
            </w:r>
          </w:p>
        </w:tc>
        <w:tc>
          <w:tcPr>
            <w:tcW w:w="66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themeColor="text1"/>
                <w:sz w:val="22"/>
                <w:szCs w:val="22"/>
                <w:u w:val="none"/>
                <w14:textFill>
                  <w14:solidFill>
                    <w14:schemeClr w14:val="tx1"/>
                  </w14:solidFill>
                </w14:textFill>
              </w:rPr>
            </w:pPr>
            <w:r>
              <w:rPr>
                <w:rFonts w:hint="eastAsia" w:ascii="等线" w:hAnsi="等线" w:eastAsia="等线" w:cs="等线"/>
                <w:b/>
                <w:bCs/>
                <w:i w:val="0"/>
                <w:iCs w:val="0"/>
                <w:color w:val="000000" w:themeColor="text1"/>
                <w:kern w:val="0"/>
                <w:sz w:val="22"/>
                <w:szCs w:val="22"/>
                <w:u w:val="none"/>
                <w:lang w:val="en-US" w:eastAsia="zh-CN" w:bidi="ar"/>
                <w14:textFill>
                  <w14:solidFill>
                    <w14:schemeClr w14:val="tx1"/>
                  </w14:solidFill>
                </w14:textFill>
              </w:rPr>
              <w:t>数据来源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80" w:hRule="atLeast"/>
        </w:trPr>
        <w:tc>
          <w:tcPr>
            <w:tcW w:w="437"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运输条件</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人员</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送货人员不得在收货区域进行如吸烟、饮酒、进食、嚼口香糖、吐痰、无遮掩打喷嚏等影响个人卫生的行为。</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低</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不允许出现</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第 1 次口头警告，第 2 次书面警告，</w:t>
            </w: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第 3 次及以上罚款，单次罚款 200 元</w:t>
            </w:r>
          </w:p>
        </w:tc>
        <w:tc>
          <w:tcPr>
            <w:tcW w:w="66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等线" w:hAnsi="等线" w:eastAsia="等线" w:cs="等线"/>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04" w:hRule="atLeast"/>
        </w:trPr>
        <w:tc>
          <w:tcPr>
            <w:tcW w:w="43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themeColor="text1"/>
                <w:sz w:val="22"/>
                <w:szCs w:val="22"/>
                <w:u w:val="none"/>
                <w14:textFill>
                  <w14:solidFill>
                    <w14:schemeClr w14:val="tx1"/>
                  </w14:solidFill>
                </w14:textFill>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themeColor="text1"/>
                <w:sz w:val="22"/>
                <w:szCs w:val="22"/>
                <w:u w:val="none"/>
                <w14:textFill>
                  <w14:solidFill>
                    <w14:schemeClr w14:val="tx1"/>
                  </w14:solidFill>
                </w14:textFill>
              </w:rPr>
            </w:pP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送货人员应经授权，并持有健康证，健康证应为食品行业并在有效期内。</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中</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不允许出现无证人员送货</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第 1 次书面警告，</w:t>
            </w: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第 2 次及以上罚款，单次罚款 200 元</w:t>
            </w:r>
          </w:p>
        </w:tc>
        <w:tc>
          <w:tcPr>
            <w:tcW w:w="66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健康证备案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36" w:hRule="atLeast"/>
        </w:trPr>
        <w:tc>
          <w:tcPr>
            <w:tcW w:w="43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themeColor="text1"/>
                <w:sz w:val="22"/>
                <w:szCs w:val="22"/>
                <w:u w:val="none"/>
                <w14:textFill>
                  <w14:solidFill>
                    <w14:schemeClr w14:val="tx1"/>
                  </w14:solidFill>
                </w14:textFill>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车辆</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食品运输车辆应为封闭的厢式货车，具备防风雨、防尘、防晒、防压、防虫害、防污染作用。车厢内装载的副食品应堆放科学合理、离地离墙、无挤压或损坏，不得将副食品与有毒有害物混装混运。车厢内墙壁和地面保持干净整洁、无积水和虫害活动痕迹、空气清新无异味。</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中</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运输车辆应满足食品温层要求，具备常温、0-4°C 冷藏或-18°C 冷冻功能</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第 1 次书面警告，</w:t>
            </w: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第 2 次及以上罚款，单次罚款 200 元</w:t>
            </w:r>
          </w:p>
        </w:tc>
        <w:tc>
          <w:tcPr>
            <w:tcW w:w="66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车辆温度记录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28" w:hRule="atLeast"/>
        </w:trPr>
        <w:tc>
          <w:tcPr>
            <w:tcW w:w="437"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交付</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错发漏发</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按照采购订单，将订单货物送至指定地点</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中</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货品准确</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单个订单错送或漏送到仓 SKU 数高于3 种，罚款 200 元</w:t>
            </w:r>
          </w:p>
        </w:tc>
        <w:tc>
          <w:tcPr>
            <w:tcW w:w="66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客诉登记表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83" w:hRule="atLeast"/>
        </w:trPr>
        <w:tc>
          <w:tcPr>
            <w:tcW w:w="43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themeColor="text1"/>
                <w:sz w:val="22"/>
                <w:szCs w:val="22"/>
                <w:u w:val="none"/>
                <w14:textFill>
                  <w14:solidFill>
                    <w14:schemeClr w14:val="tx1"/>
                  </w14:solidFill>
                </w14:textFill>
              </w:rPr>
            </w:pP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效期管理</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送货产品剩余保质期符合允收期要求，以到达集配仓时间计，日期符合收货要求，客户另有约定除外</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高</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1) 保质期“小于 7 天”，应于“生产日期起2日内”送货</w:t>
            </w: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2) 保质期“7-30 天”，应于“生产日期后5日内”送货</w:t>
            </w: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3) 保质期“大于 30 天”，副食品保质期应剩余2/3，特许情况提前沟通，评估通过后方可入库</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拒收，单件罚款 200 元</w:t>
            </w:r>
          </w:p>
        </w:tc>
        <w:tc>
          <w:tcPr>
            <w:tcW w:w="66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到货异常登记表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28" w:hRule="atLeast"/>
        </w:trPr>
        <w:tc>
          <w:tcPr>
            <w:tcW w:w="43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themeColor="text1"/>
                <w:sz w:val="22"/>
                <w:szCs w:val="22"/>
                <w:u w:val="none"/>
                <w14:textFill>
                  <w14:solidFill>
                    <w14:schemeClr w14:val="tx1"/>
                  </w14:solidFill>
                </w14:textFill>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themeColor="text1"/>
                <w:sz w:val="22"/>
                <w:szCs w:val="22"/>
                <w:u w:val="none"/>
                <w14:textFill>
                  <w14:solidFill>
                    <w14:schemeClr w14:val="tx1"/>
                  </w14:solidFill>
                </w14:textFill>
              </w:rPr>
            </w:pP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过期食品不得发货</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高</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不允许出现</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考核1000元,影响严重的根据实际损失核定</w:t>
            </w:r>
          </w:p>
        </w:tc>
        <w:tc>
          <w:tcPr>
            <w:tcW w:w="66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到货记录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80" w:hRule="atLeast"/>
        </w:trPr>
        <w:tc>
          <w:tcPr>
            <w:tcW w:w="43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themeColor="text1"/>
                <w:sz w:val="22"/>
                <w:szCs w:val="22"/>
                <w:u w:val="none"/>
                <w14:textFill>
                  <w14:solidFill>
                    <w14:schemeClr w14:val="tx1"/>
                  </w14:solidFill>
                </w14:textFill>
              </w:rPr>
            </w:pP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准时送达</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按照采购订单，在承诺的时间内将货物送至指定地点</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高</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未经提前沟通，不允许迟到</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越库产品单次迟到 30 分钟以上，罚款 200元</w:t>
            </w: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备品单次迟到2小时以上，罚款200元</w:t>
            </w:r>
          </w:p>
        </w:tc>
        <w:tc>
          <w:tcPr>
            <w:tcW w:w="66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到货异常登记表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28" w:hRule="atLeast"/>
        </w:trPr>
        <w:tc>
          <w:tcPr>
            <w:tcW w:w="43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themeColor="text1"/>
                <w:sz w:val="22"/>
                <w:szCs w:val="22"/>
                <w:u w:val="none"/>
                <w14:textFill>
                  <w14:solidFill>
                    <w14:schemeClr w14:val="tx1"/>
                  </w14:solidFill>
                </w14:textFill>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themeColor="text1"/>
                <w:sz w:val="22"/>
                <w:szCs w:val="22"/>
                <w:u w:val="none"/>
                <w14:textFill>
                  <w14:solidFill>
                    <w14:schemeClr w14:val="tx1"/>
                  </w14:solidFill>
                </w14:textFill>
              </w:rPr>
            </w:pP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食品净含量及规格应符合标签标识内容，无缺重。</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高</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到达客户收货点时应足称</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订单内生鲜重量不足，三次以上每单罚款100元</w:t>
            </w:r>
          </w:p>
        </w:tc>
        <w:tc>
          <w:tcPr>
            <w:tcW w:w="66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到货异常登记表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52" w:hRule="atLeast"/>
        </w:trPr>
        <w:tc>
          <w:tcPr>
            <w:tcW w:w="43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themeColor="text1"/>
                <w:sz w:val="22"/>
                <w:szCs w:val="22"/>
                <w:u w:val="none"/>
                <w14:textFill>
                  <w14:solidFill>
                    <w14:schemeClr w14:val="tx1"/>
                  </w14:solidFill>
                </w14:textFill>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产品温度</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产品温度符合标签要求</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高</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冷藏品： 0~10℃；</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冷冻品：≤-12℃。</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温度不达标，产品拒收，单次订单罚款 100 元；</w:t>
            </w:r>
          </w:p>
        </w:tc>
        <w:tc>
          <w:tcPr>
            <w:tcW w:w="66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验收记录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40" w:hRule="atLeast"/>
        </w:trPr>
        <w:tc>
          <w:tcPr>
            <w:tcW w:w="43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themeColor="text1"/>
                <w:sz w:val="22"/>
                <w:szCs w:val="22"/>
                <w:u w:val="none"/>
                <w14:textFill>
                  <w14:solidFill>
                    <w14:schemeClr w14:val="tx1"/>
                  </w14:solidFill>
                </w14:textFill>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索证索票</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按照验收标准的规定，及时提供对应批次的质量合格证明</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高</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每批次货品均具备合格证明</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未随货提供或保达系统上传，单次罚款 50元；三个工作日内补传或补充提供</w:t>
            </w:r>
          </w:p>
        </w:tc>
        <w:tc>
          <w:tcPr>
            <w:tcW w:w="66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保达系统订单附件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32" w:hRule="atLeast"/>
        </w:trPr>
        <w:tc>
          <w:tcPr>
            <w:tcW w:w="43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themeColor="text1"/>
                <w:sz w:val="22"/>
                <w:szCs w:val="22"/>
                <w:u w:val="none"/>
                <w14:textFill>
                  <w14:solidFill>
                    <w14:schemeClr w14:val="tx1"/>
                  </w14:solidFill>
                </w14:textFill>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产品防护</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包装方式应能充分保护产品不受污染、损伤，并能保证产品新鲜度。包装材质具备良好的防水、防潮、防污染、抗压等作用。包装应适合周转及运输，保持完好、无破损。</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中</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不允许出现生鲜农产品、散装食品裸装</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第 1 次书面警告，</w:t>
            </w: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第 2 次及以上罚款，单次罚款 200 元</w:t>
            </w:r>
          </w:p>
        </w:tc>
        <w:tc>
          <w:tcPr>
            <w:tcW w:w="66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GMP检查记录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56" w:hRule="atLeast"/>
        </w:trPr>
        <w:tc>
          <w:tcPr>
            <w:tcW w:w="437"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品质</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产品品质</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产品质量符合达成一致的产品标准要求。</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高</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月度产品合格率≥99.5%</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月度考核不达标，首次书面警告：次月不达标合格率99%以上，罚款300元，合格率99%以下罚款500元</w:t>
            </w:r>
          </w:p>
        </w:tc>
        <w:tc>
          <w:tcPr>
            <w:tcW w:w="66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到货异常登记表/客诉登记表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40" w:hRule="atLeast"/>
        </w:trPr>
        <w:tc>
          <w:tcPr>
            <w:tcW w:w="43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themeColor="text1"/>
                <w:sz w:val="22"/>
                <w:szCs w:val="22"/>
                <w:u w:val="none"/>
                <w14:textFill>
                  <w14:solidFill>
                    <w14:schemeClr w14:val="tx1"/>
                  </w14:solidFill>
                </w14:textFill>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标签问题</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最小销售单元有符合国家法律法规、行业及产品标准的标签标识，信息真实、准确，清晰、持久、不易脱落</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中</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每个最小销售单元具备标签</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第 1 次书面警告，</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第 2 次及以上罚款，单次罚款 50元</w:t>
            </w:r>
          </w:p>
        </w:tc>
        <w:tc>
          <w:tcPr>
            <w:tcW w:w="66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等线" w:hAnsi="等线" w:eastAsia="等线" w:cs="等线"/>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656" w:hRule="atLeast"/>
        </w:trPr>
        <w:tc>
          <w:tcPr>
            <w:tcW w:w="43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themeColor="text1"/>
                <w:sz w:val="22"/>
                <w:szCs w:val="22"/>
                <w:u w:val="none"/>
                <w14:textFill>
                  <w14:solidFill>
                    <w14:schemeClr w14:val="tx1"/>
                  </w14:solidFill>
                </w14:textFill>
              </w:rPr>
            </w:pP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客户投诉</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供应商交货不合格，并且影响客户运营使用</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中</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异常情况2小时内处理完成</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第一次书面警告；</w:t>
            </w: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后续每单按照 100 元扣除违约金，</w:t>
            </w: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每月累计超五单，按照 200 元/单扣除违约金</w:t>
            </w:r>
          </w:p>
        </w:tc>
        <w:tc>
          <w:tcPr>
            <w:tcW w:w="669"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客诉登记表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28" w:hRule="atLeast"/>
        </w:trPr>
        <w:tc>
          <w:tcPr>
            <w:tcW w:w="43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themeColor="text1"/>
                <w:sz w:val="22"/>
                <w:szCs w:val="22"/>
                <w:u w:val="none"/>
                <w14:textFill>
                  <w14:solidFill>
                    <w14:schemeClr w14:val="tx1"/>
                  </w14:solidFill>
                </w14:textFill>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themeColor="text1"/>
                <w:sz w:val="22"/>
                <w:szCs w:val="22"/>
                <w:u w:val="none"/>
                <w14:textFill>
                  <w14:solidFill>
                    <w14:schemeClr w14:val="tx1"/>
                  </w14:solidFill>
                </w14:textFill>
              </w:rPr>
            </w:pP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供应商原因造成客户索赔</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中</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供应商承担一切费用，并按照订单的20%扣除违约金。</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供应商承担一切费用，并按照订单的20%扣除违约金。</w:t>
            </w:r>
          </w:p>
        </w:tc>
        <w:tc>
          <w:tcPr>
            <w:tcW w:w="669"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等线" w:hAnsi="等线" w:eastAsia="等线" w:cs="等线"/>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04" w:hRule="atLeast"/>
        </w:trPr>
        <w:tc>
          <w:tcPr>
            <w:tcW w:w="437"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服务</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服务时效</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异常情况处理不及时</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低</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日常反馈半小时内对接处理，食安问题7天内回复调查整改结果。</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themeColor="text1"/>
                <w:sz w:val="20"/>
                <w:szCs w:val="20"/>
                <w:u w:val="none"/>
                <w14:textFill>
                  <w14:solidFill>
                    <w14:schemeClr w14:val="tx1"/>
                  </w14:solidFill>
                </w14:textFill>
              </w:rPr>
            </w:pPr>
            <w:r>
              <w:rPr>
                <w:rFonts w:hint="eastAsia" w:ascii="等线" w:hAnsi="等线" w:eastAsia="等线" w:cs="等线"/>
                <w:i w:val="0"/>
                <w:iCs w:val="0"/>
                <w:color w:val="000000" w:themeColor="text1"/>
                <w:kern w:val="0"/>
                <w:sz w:val="20"/>
                <w:szCs w:val="20"/>
                <w:u w:val="none"/>
                <w:lang w:val="en-US" w:eastAsia="zh-CN" w:bidi="ar"/>
                <w14:textFill>
                  <w14:solidFill>
                    <w14:schemeClr w14:val="tx1"/>
                  </w14:solidFill>
                </w14:textFill>
              </w:rPr>
              <w:t>考核200元/次</w:t>
            </w:r>
          </w:p>
        </w:tc>
        <w:tc>
          <w:tcPr>
            <w:tcW w:w="66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工作群/邮件沟通记录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04" w:hRule="atLeast"/>
        </w:trPr>
        <w:tc>
          <w:tcPr>
            <w:tcW w:w="43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themeColor="text1"/>
                <w:sz w:val="22"/>
                <w:szCs w:val="22"/>
                <w:u w:val="none"/>
                <w14:textFill>
                  <w14:solidFill>
                    <w14:schemeClr w14:val="tx1"/>
                  </w14:solidFill>
                </w14:textFill>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制假售假</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票证与订单不符或伪造报告，配送的物料中掺杂劣质、腐烂、变质、假冒物料</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高</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不允许出现</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按照法律程序追责，并取消供应商资格。</w:t>
            </w:r>
          </w:p>
        </w:tc>
        <w:tc>
          <w:tcPr>
            <w:tcW w:w="66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等线" w:hAnsi="等线" w:eastAsia="等线" w:cs="等线"/>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43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themeColor="text1"/>
                <w:sz w:val="22"/>
                <w:szCs w:val="22"/>
                <w:u w:val="none"/>
                <w14:textFill>
                  <w14:solidFill>
                    <w14:schemeClr w14:val="tx1"/>
                  </w14:solidFill>
                </w14:textFill>
              </w:rPr>
            </w:pPr>
          </w:p>
        </w:tc>
        <w:tc>
          <w:tcPr>
            <w:tcW w:w="741"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u w:val="none"/>
                <w14:textFill>
                  <w14:solidFill>
                    <w14:schemeClr w14:val="tx1"/>
                  </w14:solidFill>
                </w14:textFill>
              </w:rPr>
            </w:pPr>
            <w:r>
              <w:rPr>
                <w:rFonts w:hint="eastAsia" w:ascii="等线" w:hAnsi="等线" w:eastAsia="等线" w:cs="等线"/>
                <w:i w:val="0"/>
                <w:iCs w:val="0"/>
                <w:color w:val="000000" w:themeColor="text1"/>
                <w:kern w:val="0"/>
                <w:sz w:val="22"/>
                <w:szCs w:val="22"/>
                <w:u w:val="none"/>
                <w:lang w:val="en-US" w:eastAsia="zh-CN" w:bidi="ar"/>
                <w14:textFill>
                  <w14:solidFill>
                    <w14:schemeClr w14:val="tx1"/>
                  </w14:solidFill>
                </w14:textFill>
              </w:rPr>
              <w:t>持续改进</w:t>
            </w:r>
          </w:p>
        </w:tc>
        <w:tc>
          <w:tcPr>
            <w:tcW w:w="2605"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ascii="微软雅黑" w:hAnsi="微软雅黑" w:eastAsia="微软雅黑" w:cs="微软雅黑"/>
                <w:i w:val="0"/>
                <w:iCs w:val="0"/>
                <w:color w:val="000000" w:themeColor="text1"/>
                <w:sz w:val="22"/>
                <w:szCs w:val="22"/>
                <w:u w:val="none"/>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供应《食品安全法》明令禁止生产经营的食品</w:t>
            </w:r>
          </w:p>
        </w:tc>
        <w:tc>
          <w:tcPr>
            <w:tcW w:w="483"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2"/>
                <w:szCs w:val="22"/>
                <w:u w:val="none"/>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高</w:t>
            </w:r>
          </w:p>
        </w:tc>
        <w:tc>
          <w:tcPr>
            <w:tcW w:w="1812"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2"/>
                <w:szCs w:val="22"/>
                <w:u w:val="none"/>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不允许出现</w:t>
            </w:r>
          </w:p>
        </w:tc>
        <w:tc>
          <w:tcPr>
            <w:tcW w:w="2169"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2"/>
                <w:szCs w:val="22"/>
                <w:u w:val="none"/>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立即上报市场监督管理部门，按照协议进行处罚</w:t>
            </w:r>
          </w:p>
        </w:tc>
        <w:tc>
          <w:tcPr>
            <w:tcW w:w="669"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40" w:hRule="atLeast"/>
        </w:trPr>
        <w:tc>
          <w:tcPr>
            <w:tcW w:w="437"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0"/>
                <w:szCs w:val="20"/>
                <w:u w:val="none"/>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u w:val="none"/>
                <w:lang w:val="en-US" w:eastAsia="zh-CN" w:bidi="ar"/>
                <w14:textFill>
                  <w14:solidFill>
                    <w14:schemeClr w14:val="tx1"/>
                  </w14:solidFill>
                </w14:textFill>
              </w:rPr>
              <w:t>备注</w:t>
            </w:r>
          </w:p>
        </w:tc>
        <w:tc>
          <w:tcPr>
            <w:tcW w:w="8479"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0"/>
                <w:szCs w:val="20"/>
                <w:u w:val="none"/>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u w:val="none"/>
                <w:lang w:val="en-US" w:eastAsia="zh-CN" w:bidi="ar"/>
                <w14:textFill>
                  <w14:solidFill>
                    <w14:schemeClr w14:val="tx1"/>
                  </w14:solidFill>
                </w14:textFill>
              </w:rPr>
              <w:t>异常来源包括但不限于入库查验、自检自查、检验检测、客户投诉等；监控部门为质控部、仓储部、采购部；</w:t>
            </w:r>
            <w:r>
              <w:rPr>
                <w:rFonts w:hint="eastAsia" w:ascii="微软雅黑" w:hAnsi="微软雅黑" w:eastAsia="微软雅黑" w:cs="微软雅黑"/>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微软雅黑" w:hAnsi="微软雅黑" w:eastAsia="微软雅黑" w:cs="微软雅黑"/>
                <w:i w:val="0"/>
                <w:iCs w:val="0"/>
                <w:color w:val="000000" w:themeColor="text1"/>
                <w:kern w:val="0"/>
                <w:sz w:val="20"/>
                <w:szCs w:val="20"/>
                <w:u w:val="none"/>
                <w:lang w:val="en-US" w:eastAsia="zh-CN" w:bidi="ar"/>
                <w14:textFill>
                  <w14:solidFill>
                    <w14:schemeClr w14:val="tx1"/>
                  </w14:solidFill>
                </w14:textFill>
              </w:rPr>
              <w:t>风险等级：</w:t>
            </w:r>
            <w:r>
              <w:rPr>
                <w:rFonts w:hint="eastAsia" w:ascii="微软雅黑" w:hAnsi="微软雅黑" w:eastAsia="微软雅黑" w:cs="微软雅黑"/>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微软雅黑" w:hAnsi="微软雅黑" w:eastAsia="微软雅黑" w:cs="微软雅黑"/>
                <w:i w:val="0"/>
                <w:iCs w:val="0"/>
                <w:color w:val="000000" w:themeColor="text1"/>
                <w:kern w:val="0"/>
                <w:sz w:val="20"/>
                <w:szCs w:val="20"/>
                <w:u w:val="none"/>
                <w:lang w:val="en-US" w:eastAsia="zh-CN" w:bidi="ar"/>
                <w14:textFill>
                  <w14:solidFill>
                    <w14:schemeClr w14:val="tx1"/>
                  </w14:solidFill>
                </w14:textFill>
              </w:rPr>
              <w:t>高：可能对食品安全或客户运营造成严重影响。</w:t>
            </w:r>
            <w:r>
              <w:rPr>
                <w:rFonts w:hint="eastAsia" w:ascii="微软雅黑" w:hAnsi="微软雅黑" w:eastAsia="微软雅黑" w:cs="微软雅黑"/>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微软雅黑" w:hAnsi="微软雅黑" w:eastAsia="微软雅黑" w:cs="微软雅黑"/>
                <w:i w:val="0"/>
                <w:iCs w:val="0"/>
                <w:color w:val="000000" w:themeColor="text1"/>
                <w:kern w:val="0"/>
                <w:sz w:val="20"/>
                <w:szCs w:val="20"/>
                <w:u w:val="none"/>
                <w:lang w:val="en-US" w:eastAsia="zh-CN" w:bidi="ar"/>
                <w14:textFill>
                  <w14:solidFill>
                    <w14:schemeClr w14:val="tx1"/>
                  </w14:solidFill>
                </w14:textFill>
              </w:rPr>
              <w:t>中：可能对食品安全或客户运营造成一定影响。</w:t>
            </w:r>
            <w:r>
              <w:rPr>
                <w:rFonts w:hint="eastAsia" w:ascii="微软雅黑" w:hAnsi="微软雅黑" w:eastAsia="微软雅黑" w:cs="微软雅黑"/>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微软雅黑" w:hAnsi="微软雅黑" w:eastAsia="微软雅黑" w:cs="微软雅黑"/>
                <w:i w:val="0"/>
                <w:iCs w:val="0"/>
                <w:color w:val="000000" w:themeColor="text1"/>
                <w:kern w:val="0"/>
                <w:sz w:val="20"/>
                <w:szCs w:val="20"/>
                <w:u w:val="none"/>
                <w:lang w:val="en-US" w:eastAsia="zh-CN" w:bidi="ar"/>
                <w14:textFill>
                  <w14:solidFill>
                    <w14:schemeClr w14:val="tx1"/>
                  </w14:solidFill>
                </w14:textFill>
              </w:rPr>
              <w:t>低：对食品安全或客户运营影响较小。</w:t>
            </w:r>
          </w:p>
        </w:tc>
      </w:tr>
    </w:tbl>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tabs>
          <w:tab w:val="right" w:pos="9026"/>
        </w:tabs>
        <w:jc w:val="left"/>
        <w:rPr>
          <w:rFonts w:hint="eastAsia" w:ascii="宋体" w:hAnsi="宋体" w:cs="宋体"/>
          <w:color w:val="000000"/>
        </w:rPr>
      </w:pPr>
    </w:p>
    <w:p>
      <w:pPr>
        <w:tabs>
          <w:tab w:val="right" w:pos="9026"/>
        </w:tabs>
        <w:jc w:val="left"/>
        <w:rPr>
          <w:rFonts w:hint="eastAsia" w:ascii="宋体" w:hAnsi="宋体" w:cs="宋体"/>
          <w:color w:val="000000"/>
        </w:rPr>
      </w:pPr>
    </w:p>
    <w:p>
      <w:pPr>
        <w:tabs>
          <w:tab w:val="right" w:pos="9026"/>
        </w:tabs>
        <w:jc w:val="left"/>
        <w:rPr>
          <w:rFonts w:hint="eastAsia" w:ascii="宋体" w:hAnsi="宋体" w:cs="宋体"/>
          <w:color w:val="000000"/>
        </w:rPr>
      </w:pPr>
    </w:p>
    <w:p>
      <w:pPr>
        <w:tabs>
          <w:tab w:val="right" w:pos="9026"/>
        </w:tabs>
        <w:jc w:val="left"/>
        <w:rPr>
          <w:rFonts w:hint="eastAsia" w:ascii="宋体" w:hAnsi="宋体" w:cs="宋体"/>
          <w:color w:val="000000"/>
        </w:rPr>
      </w:pPr>
    </w:p>
    <w:p>
      <w:pPr>
        <w:tabs>
          <w:tab w:val="right" w:pos="9026"/>
        </w:tabs>
        <w:jc w:val="left"/>
        <w:rPr>
          <w:rFonts w:hint="eastAsia" w:ascii="宋体" w:hAnsi="宋体" w:cs="宋体"/>
          <w:color w:val="000000"/>
        </w:rPr>
      </w:pPr>
    </w:p>
    <w:p>
      <w:pPr>
        <w:tabs>
          <w:tab w:val="right" w:pos="9026"/>
        </w:tabs>
        <w:jc w:val="left"/>
        <w:rPr>
          <w:rFonts w:hint="eastAsia" w:ascii="宋体" w:hAnsi="宋体" w:cs="宋体"/>
          <w:color w:val="000000"/>
        </w:rPr>
      </w:pPr>
    </w:p>
    <w:p>
      <w:pPr>
        <w:tabs>
          <w:tab w:val="right" w:pos="9026"/>
        </w:tabs>
        <w:jc w:val="left"/>
        <w:rPr>
          <w:rFonts w:ascii="宋体" w:hAnsi="宋体" w:cs="宋体"/>
          <w:color w:val="000000"/>
        </w:rPr>
      </w:pPr>
    </w:p>
    <w:p>
      <w:pPr>
        <w:pStyle w:val="2"/>
        <w:ind w:left="0" w:firstLine="0"/>
        <w:rPr>
          <w:color w:val="auto"/>
        </w:rPr>
      </w:pPr>
    </w:p>
    <w:p>
      <w:pPr>
        <w:pStyle w:val="2"/>
        <w:ind w:left="0" w:firstLine="0"/>
        <w:rPr>
          <w:color w:val="auto"/>
        </w:rPr>
      </w:pPr>
    </w:p>
    <w:p>
      <w:pPr>
        <w:pStyle w:val="2"/>
        <w:ind w:left="0" w:firstLine="0"/>
        <w:rPr>
          <w:color w:val="auto"/>
        </w:rPr>
      </w:pPr>
    </w:p>
    <w:p>
      <w:pPr>
        <w:pStyle w:val="2"/>
        <w:ind w:left="0" w:firstLine="0"/>
        <w:rPr>
          <w:color w:val="auto"/>
        </w:rPr>
      </w:pPr>
    </w:p>
    <w:p>
      <w:pPr>
        <w:pStyle w:val="2"/>
        <w:ind w:left="0" w:firstLine="0"/>
        <w:rPr>
          <w:color w:val="auto"/>
        </w:rPr>
      </w:pPr>
    </w:p>
    <w:p>
      <w:pPr>
        <w:pStyle w:val="2"/>
        <w:ind w:left="0" w:firstLine="0"/>
        <w:rPr>
          <w:color w:val="auto"/>
        </w:rPr>
      </w:pPr>
    </w:p>
    <w:p>
      <w:pPr>
        <w:pStyle w:val="2"/>
        <w:ind w:left="0" w:firstLine="0"/>
        <w:rPr>
          <w:color w:val="auto"/>
        </w:rPr>
      </w:pPr>
    </w:p>
    <w:p>
      <w:pPr>
        <w:tabs>
          <w:tab w:val="right" w:pos="9026"/>
        </w:tabs>
        <w:jc w:val="both"/>
        <w:rPr>
          <w:rFonts w:hint="eastAsia" w:ascii="宋体" w:hAnsi="宋体" w:eastAsia="宋体" w:cs="宋体"/>
          <w:color w:val="000000"/>
          <w:sz w:val="21"/>
          <w:lang w:val="en-US" w:eastAsia="zh-CN"/>
        </w:rPr>
      </w:pPr>
      <w:r>
        <w:rPr>
          <w:rFonts w:hint="eastAsia" w:ascii="宋体" w:hAnsi="宋体" w:eastAsia="宋体" w:cs="宋体"/>
          <w:color w:val="000000"/>
          <w:sz w:val="21"/>
        </w:rPr>
        <w:t>附件</w:t>
      </w:r>
      <w:r>
        <w:rPr>
          <w:rFonts w:hint="eastAsia" w:ascii="宋体" w:hAnsi="宋体" w:eastAsia="宋体" w:cs="宋体"/>
          <w:color w:val="000000"/>
          <w:sz w:val="21"/>
          <w:lang w:val="en-US" w:eastAsia="zh-CN"/>
        </w:rPr>
        <w:t>5</w:t>
      </w:r>
      <w:r>
        <w:rPr>
          <w:rFonts w:hint="eastAsia" w:ascii="宋体" w:hAnsi="宋体" w:eastAsia="宋体" w:cs="宋体"/>
          <w:color w:val="000000"/>
          <w:sz w:val="21"/>
        </w:rPr>
        <w:t>：《</w:t>
      </w:r>
      <w:r>
        <w:rPr>
          <w:rFonts w:hint="eastAsia" w:ascii="宋体" w:hAnsi="宋体" w:cs="宋体"/>
          <w:color w:val="000000"/>
          <w:sz w:val="21"/>
          <w:lang w:val="en-US" w:eastAsia="zh-CN"/>
        </w:rPr>
        <w:t>产品报价清单</w:t>
      </w:r>
      <w:r>
        <w:rPr>
          <w:rFonts w:hint="eastAsia" w:ascii="宋体" w:hAnsi="宋体" w:eastAsia="宋体" w:cs="宋体"/>
          <w:color w:val="000000"/>
          <w:sz w:val="21"/>
        </w:rPr>
        <w:t>》</w:t>
      </w:r>
      <w:r>
        <w:rPr>
          <w:rFonts w:hint="eastAsia" w:ascii="宋体" w:hAnsi="宋体" w:eastAsia="宋体" w:cs="宋体"/>
          <w:color w:val="000000"/>
          <w:sz w:val="21"/>
          <w:lang w:eastAsia="zh-CN"/>
        </w:rPr>
        <w:t>，</w:t>
      </w:r>
      <w:r>
        <w:rPr>
          <w:rFonts w:hint="eastAsia" w:ascii="宋体" w:hAnsi="宋体" w:eastAsia="宋体" w:cs="宋体"/>
          <w:color w:val="000000"/>
          <w:sz w:val="21"/>
          <w:lang w:val="en-US" w:eastAsia="zh-CN"/>
        </w:rPr>
        <w:t>且该清单中产品相关信息与</w:t>
      </w:r>
      <w:r>
        <w:rPr>
          <w:rFonts w:hint="eastAsia" w:ascii="宋体" w:hAnsi="宋体" w:eastAsia="宋体" w:cs="宋体"/>
          <w:color w:val="000000"/>
          <w:sz w:val="21"/>
        </w:rPr>
        <w:t>鲜生活食材保达系统</w:t>
      </w:r>
      <w:r>
        <w:rPr>
          <w:rFonts w:hint="eastAsia" w:ascii="宋体" w:hAnsi="宋体" w:eastAsia="宋体" w:cs="宋体"/>
          <w:color w:val="000000"/>
          <w:sz w:val="21"/>
          <w:lang w:val="en-US" w:eastAsia="zh-CN"/>
        </w:rPr>
        <w:t>一致。</w:t>
      </w:r>
      <w:bookmarkStart w:id="1" w:name="_GoBack"/>
      <w:bookmarkEnd w:id="1"/>
    </w:p>
    <w:p>
      <w:pPr>
        <w:pStyle w:val="2"/>
        <w:ind w:firstLine="688" w:firstLineChars="328"/>
        <w:rPr>
          <w:rFonts w:hint="default"/>
          <w:lang w:val="en-US" w:eastAsia="zh-CN"/>
        </w:rPr>
      </w:pPr>
      <w:r>
        <w:rPr>
          <w:rFonts w:hint="eastAsia" w:cs="宋体"/>
          <w:color w:val="000000"/>
          <w:sz w:val="21"/>
          <w:lang w:val="en-US" w:eastAsia="zh-CN"/>
        </w:rPr>
        <w:t>报价有效期：XX年XX月XX日至XX年XX月XX</w:t>
      </w:r>
    </w:p>
    <w:tbl>
      <w:tblPr>
        <w:tblStyle w:val="12"/>
        <w:tblpPr w:leftFromText="180" w:rightFromText="180" w:vertAnchor="text" w:horzAnchor="page" w:tblpX="537" w:tblpY="230"/>
        <w:tblOverlap w:val="never"/>
        <w:tblW w:w="10623" w:type="dxa"/>
        <w:tblInd w:w="0" w:type="dxa"/>
        <w:tblLayout w:type="fixed"/>
        <w:tblCellMar>
          <w:top w:w="0" w:type="dxa"/>
          <w:left w:w="108" w:type="dxa"/>
          <w:bottom w:w="0" w:type="dxa"/>
          <w:right w:w="108" w:type="dxa"/>
        </w:tblCellMar>
      </w:tblPr>
      <w:tblGrid>
        <w:gridCol w:w="2867"/>
        <w:gridCol w:w="1303"/>
        <w:gridCol w:w="1207"/>
        <w:gridCol w:w="1151"/>
        <w:gridCol w:w="1698"/>
        <w:gridCol w:w="2397"/>
      </w:tblGrid>
      <w:tr>
        <w:trPr>
          <w:trHeight w:val="822" w:hRule="atLeast"/>
        </w:trPr>
        <w:tc>
          <w:tcPr>
            <w:tcW w:w="2867"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sz w:val="24"/>
              </w:rPr>
              <w:t>产品名称</w:t>
            </w:r>
          </w:p>
        </w:tc>
        <w:tc>
          <w:tcPr>
            <w:tcW w:w="1303"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产品规格</w:t>
            </w:r>
          </w:p>
        </w:tc>
        <w:tc>
          <w:tcPr>
            <w:tcW w:w="1207"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spacing w:line="360" w:lineRule="auto"/>
              <w:jc w:val="center"/>
              <w:textAlignment w:val="center"/>
              <w:rPr>
                <w:rFonts w:ascii="宋体" w:hAnsi="宋体" w:cs="宋体"/>
                <w:b/>
                <w:bCs/>
                <w:color w:val="000000"/>
                <w:sz w:val="24"/>
                <w:lang w:val="en-GB"/>
              </w:rPr>
            </w:pPr>
            <w:r>
              <w:rPr>
                <w:rFonts w:hint="eastAsia" w:ascii="宋体" w:hAnsi="宋体" w:cs="宋体"/>
                <w:b/>
                <w:bCs/>
                <w:color w:val="000000"/>
                <w:sz w:val="24"/>
                <w:lang w:val="en-US" w:eastAsia="zh-CN"/>
              </w:rPr>
              <w:t>报价</w:t>
            </w:r>
            <w:r>
              <w:rPr>
                <w:rFonts w:hint="eastAsia" w:ascii="宋体" w:hAnsi="宋体" w:cs="宋体"/>
                <w:b/>
                <w:bCs/>
                <w:color w:val="000000"/>
                <w:sz w:val="24"/>
              </w:rPr>
              <w:t>单位</w:t>
            </w:r>
          </w:p>
        </w:tc>
        <w:tc>
          <w:tcPr>
            <w:tcW w:w="1151"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sz w:val="24"/>
              </w:rPr>
              <w:t>税率(%</w:t>
            </w:r>
            <w:r>
              <w:rPr>
                <w:rFonts w:ascii="宋体" w:hAnsi="宋体" w:cs="宋体"/>
                <w:b/>
                <w:bCs/>
                <w:color w:val="000000"/>
                <w:sz w:val="24"/>
              </w:rPr>
              <w:t>)</w:t>
            </w:r>
          </w:p>
        </w:tc>
        <w:tc>
          <w:tcPr>
            <w:tcW w:w="1698"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themeColor="text1"/>
                <w:sz w:val="24"/>
                <w:lang w:val="en-US" w:eastAsia="zh-CN"/>
                <w14:textFill>
                  <w14:solidFill>
                    <w14:schemeClr w14:val="tx1"/>
                  </w14:solidFill>
                </w14:textFill>
              </w:rPr>
              <w:t>含税</w:t>
            </w:r>
            <w:r>
              <w:rPr>
                <w:rFonts w:hint="eastAsia" w:ascii="宋体" w:hAnsi="宋体" w:cs="宋体"/>
                <w:b/>
                <w:bCs/>
                <w:color w:val="000000" w:themeColor="text1"/>
                <w:sz w:val="24"/>
                <w14:textFill>
                  <w14:solidFill>
                    <w14:schemeClr w14:val="tx1"/>
                  </w14:solidFill>
                </w14:textFill>
              </w:rPr>
              <w:t>单价(元</w:t>
            </w:r>
            <w:r>
              <w:rPr>
                <w:rFonts w:ascii="宋体" w:hAnsi="宋体" w:cs="宋体"/>
                <w:b/>
                <w:bCs/>
                <w:color w:val="000000" w:themeColor="text1"/>
                <w:sz w:val="24"/>
                <w14:textFill>
                  <w14:solidFill>
                    <w14:schemeClr w14:val="tx1"/>
                  </w14:solidFill>
                </w14:textFill>
              </w:rPr>
              <w:t>)</w:t>
            </w:r>
          </w:p>
        </w:tc>
        <w:tc>
          <w:tcPr>
            <w:tcW w:w="2397"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spacing w:line="360" w:lineRule="auto"/>
              <w:jc w:val="center"/>
              <w:textAlignment w:val="center"/>
              <w:rPr>
                <w:rFonts w:hint="eastAsia" w:ascii="宋体" w:hAnsi="宋体" w:eastAsia="宋体" w:cs="宋体"/>
                <w:b/>
                <w:bCs/>
                <w:color w:val="000000"/>
                <w:sz w:val="24"/>
                <w:lang w:eastAsia="zh-CN"/>
              </w:rPr>
            </w:pPr>
            <w:r>
              <w:rPr>
                <w:rFonts w:hint="eastAsia" w:ascii="宋体" w:hAnsi="宋体" w:cs="宋体"/>
                <w:b/>
                <w:bCs/>
                <w:color w:val="000000"/>
                <w:sz w:val="24"/>
              </w:rPr>
              <w:t>备注</w:t>
            </w:r>
            <w:r>
              <w:rPr>
                <w:rFonts w:hint="eastAsia" w:ascii="宋体" w:hAnsi="宋体" w:cs="宋体"/>
                <w:b/>
                <w:bCs/>
                <w:color w:val="000000"/>
                <w:sz w:val="24"/>
                <w:lang w:eastAsia="zh-CN"/>
              </w:rPr>
              <w:t>（</w:t>
            </w:r>
            <w:r>
              <w:rPr>
                <w:rFonts w:hint="eastAsia" w:ascii="宋体" w:hAnsi="宋体" w:cs="宋体"/>
                <w:b/>
                <w:bCs/>
                <w:color w:val="000000"/>
                <w:sz w:val="24"/>
                <w:lang w:val="en-US" w:eastAsia="zh-CN"/>
              </w:rPr>
              <w:t>特殊备货要求</w:t>
            </w:r>
            <w:r>
              <w:rPr>
                <w:rFonts w:hint="eastAsia" w:ascii="宋体" w:hAnsi="宋体" w:cs="宋体"/>
                <w:b/>
                <w:bCs/>
                <w:color w:val="000000"/>
                <w:sz w:val="24"/>
                <w:lang w:eastAsia="zh-CN"/>
              </w:rPr>
              <w:t>）</w:t>
            </w:r>
          </w:p>
        </w:tc>
      </w:tr>
      <w:tr>
        <w:trPr>
          <w:trHeight w:val="322" w:hRule="atLeast"/>
        </w:trPr>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b/>
                <w:bCs/>
                <w:color w:val="000000"/>
                <w:sz w:val="24"/>
                <w:highlight w:val="yellow"/>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color w:val="000000"/>
                <w:sz w:val="24"/>
                <w:highlight w:val="yellow"/>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color w:val="000000"/>
                <w:sz w:val="24"/>
                <w:highlight w:val="yellow"/>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Pr>
          <w:p>
            <w:pPr>
              <w:spacing w:line="360" w:lineRule="auto"/>
              <w:rPr>
                <w:rFonts w:ascii="宋体" w:hAnsi="宋体" w:cs="宋体"/>
                <w:color w:val="000000"/>
                <w:sz w:val="24"/>
                <w:highlight w:val="yellow"/>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color w:val="000000"/>
                <w:sz w:val="24"/>
                <w:highlight w:val="yellow"/>
              </w:rPr>
            </w:pP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tcPr>
          <w:p>
            <w:pPr>
              <w:spacing w:line="360" w:lineRule="auto"/>
              <w:rPr>
                <w:rFonts w:ascii="宋体" w:hAnsi="宋体" w:cs="宋体"/>
                <w:color w:val="000000"/>
                <w:sz w:val="24"/>
                <w:highlight w:val="yellow"/>
              </w:rPr>
            </w:pPr>
          </w:p>
        </w:tc>
      </w:tr>
      <w:tr>
        <w:trPr>
          <w:trHeight w:val="322" w:hRule="atLeast"/>
        </w:trPr>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b/>
                <w:bCs/>
                <w:color w:val="000000"/>
                <w:sz w:val="24"/>
                <w:highlight w:val="yellow"/>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color w:val="000000"/>
                <w:sz w:val="24"/>
                <w:highlight w:val="yellow"/>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color w:val="000000"/>
                <w:sz w:val="24"/>
                <w:highlight w:val="yellow"/>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Pr>
          <w:p>
            <w:pPr>
              <w:spacing w:line="360" w:lineRule="auto"/>
              <w:rPr>
                <w:rFonts w:ascii="宋体" w:hAnsi="宋体" w:cs="宋体"/>
                <w:color w:val="000000"/>
                <w:sz w:val="24"/>
                <w:highlight w:val="yellow"/>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color w:val="000000"/>
                <w:sz w:val="24"/>
                <w:highlight w:val="yellow"/>
              </w:rPr>
            </w:pP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tcPr>
          <w:p>
            <w:pPr>
              <w:spacing w:line="360" w:lineRule="auto"/>
              <w:rPr>
                <w:rFonts w:ascii="宋体" w:hAnsi="宋体" w:cs="宋体"/>
                <w:color w:val="000000"/>
                <w:sz w:val="24"/>
                <w:highlight w:val="yellow"/>
              </w:rPr>
            </w:pPr>
          </w:p>
        </w:tc>
      </w:tr>
      <w:tr>
        <w:trPr>
          <w:trHeight w:val="472" w:hRule="atLeast"/>
        </w:trPr>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b/>
                <w:bCs/>
                <w:color w:val="000000"/>
                <w:sz w:val="24"/>
                <w:highlight w:val="yellow"/>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color w:val="000000"/>
                <w:sz w:val="24"/>
                <w:highlight w:val="yellow"/>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color w:val="000000"/>
                <w:sz w:val="24"/>
                <w:highlight w:val="yellow"/>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Pr>
          <w:p>
            <w:pPr>
              <w:spacing w:line="360" w:lineRule="auto"/>
              <w:rPr>
                <w:rFonts w:ascii="宋体" w:hAnsi="宋体" w:cs="宋体"/>
                <w:color w:val="000000"/>
                <w:sz w:val="24"/>
                <w:highlight w:val="yellow"/>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color w:val="000000"/>
                <w:sz w:val="24"/>
                <w:highlight w:val="yellow"/>
              </w:rPr>
            </w:pP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tcPr>
          <w:p>
            <w:pPr>
              <w:spacing w:line="360" w:lineRule="auto"/>
              <w:rPr>
                <w:rFonts w:ascii="宋体" w:hAnsi="宋体" w:cs="宋体"/>
                <w:color w:val="000000"/>
                <w:sz w:val="24"/>
                <w:highlight w:val="yellow"/>
              </w:rPr>
            </w:pPr>
          </w:p>
        </w:tc>
      </w:tr>
      <w:tr>
        <w:trPr>
          <w:trHeight w:val="322" w:hRule="atLeast"/>
        </w:trPr>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b/>
                <w:bCs/>
                <w:color w:val="000000"/>
                <w:sz w:val="24"/>
                <w:highlight w:val="yellow"/>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color w:val="000000"/>
                <w:sz w:val="24"/>
                <w:highlight w:val="yellow"/>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color w:val="000000"/>
                <w:sz w:val="24"/>
                <w:highlight w:val="yellow"/>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Pr>
          <w:p>
            <w:pPr>
              <w:spacing w:line="360" w:lineRule="auto"/>
              <w:rPr>
                <w:rFonts w:ascii="宋体" w:hAnsi="宋体" w:cs="宋体"/>
                <w:color w:val="000000"/>
                <w:sz w:val="24"/>
                <w:highlight w:val="yellow"/>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color w:val="000000"/>
                <w:sz w:val="24"/>
                <w:highlight w:val="yellow"/>
              </w:rPr>
            </w:pP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tcPr>
          <w:p>
            <w:pPr>
              <w:spacing w:line="360" w:lineRule="auto"/>
              <w:rPr>
                <w:rFonts w:ascii="宋体" w:hAnsi="宋体" w:cs="宋体"/>
                <w:color w:val="000000"/>
                <w:sz w:val="24"/>
                <w:highlight w:val="yellow"/>
              </w:rPr>
            </w:pPr>
          </w:p>
        </w:tc>
      </w:tr>
      <w:tr>
        <w:trPr>
          <w:trHeight w:val="322" w:hRule="atLeast"/>
        </w:trPr>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b/>
                <w:bCs/>
                <w:color w:val="000000"/>
                <w:sz w:val="24"/>
                <w:highlight w:val="yellow"/>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color w:val="000000"/>
                <w:sz w:val="24"/>
                <w:highlight w:val="yellow"/>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color w:val="000000"/>
                <w:sz w:val="24"/>
                <w:highlight w:val="yellow"/>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Pr>
          <w:p>
            <w:pPr>
              <w:spacing w:line="360" w:lineRule="auto"/>
              <w:rPr>
                <w:rFonts w:ascii="宋体" w:hAnsi="宋体" w:cs="宋体"/>
                <w:color w:val="000000"/>
                <w:sz w:val="24"/>
                <w:highlight w:val="yellow"/>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color w:val="000000"/>
                <w:sz w:val="24"/>
                <w:highlight w:val="yellow"/>
              </w:rPr>
            </w:pP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tcPr>
          <w:p>
            <w:pPr>
              <w:spacing w:line="360" w:lineRule="auto"/>
              <w:rPr>
                <w:rFonts w:ascii="宋体" w:hAnsi="宋体" w:cs="宋体"/>
                <w:color w:val="000000"/>
                <w:sz w:val="24"/>
                <w:highlight w:val="yellow"/>
              </w:rPr>
            </w:pPr>
          </w:p>
        </w:tc>
      </w:tr>
      <w:tr>
        <w:trPr>
          <w:trHeight w:val="322" w:hRule="atLeast"/>
        </w:trPr>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b/>
                <w:bCs/>
                <w:color w:val="000000"/>
                <w:sz w:val="24"/>
                <w:highlight w:val="yellow"/>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color w:val="000000"/>
                <w:sz w:val="24"/>
                <w:highlight w:val="yellow"/>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color w:val="000000"/>
                <w:sz w:val="24"/>
                <w:highlight w:val="yellow"/>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Pr>
          <w:p>
            <w:pPr>
              <w:spacing w:line="360" w:lineRule="auto"/>
              <w:rPr>
                <w:rFonts w:ascii="宋体" w:hAnsi="宋体" w:cs="宋体"/>
                <w:color w:val="000000"/>
                <w:sz w:val="24"/>
                <w:highlight w:val="yellow"/>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color w:val="000000"/>
                <w:sz w:val="24"/>
                <w:highlight w:val="yellow"/>
              </w:rPr>
            </w:pP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tcPr>
          <w:p>
            <w:pPr>
              <w:spacing w:line="360" w:lineRule="auto"/>
              <w:rPr>
                <w:rFonts w:ascii="宋体" w:hAnsi="宋体" w:cs="宋体"/>
                <w:color w:val="000000"/>
                <w:sz w:val="24"/>
                <w:highlight w:val="yellow"/>
              </w:rPr>
            </w:pPr>
          </w:p>
        </w:tc>
      </w:tr>
      <w:tr>
        <w:trPr>
          <w:trHeight w:val="322" w:hRule="atLeast"/>
        </w:trPr>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b/>
                <w:bCs/>
                <w:color w:val="000000"/>
                <w:sz w:val="24"/>
                <w:highlight w:val="yellow"/>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color w:val="000000"/>
                <w:sz w:val="24"/>
                <w:highlight w:val="yellow"/>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color w:val="000000"/>
                <w:sz w:val="24"/>
                <w:highlight w:val="yellow"/>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Pr>
          <w:p>
            <w:pPr>
              <w:spacing w:line="360" w:lineRule="auto"/>
              <w:rPr>
                <w:rFonts w:ascii="宋体" w:hAnsi="宋体" w:cs="宋体"/>
                <w:color w:val="000000"/>
                <w:sz w:val="24"/>
                <w:highlight w:val="yellow"/>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color w:val="000000"/>
                <w:sz w:val="24"/>
                <w:highlight w:val="yellow"/>
              </w:rPr>
            </w:pP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tcPr>
          <w:p>
            <w:pPr>
              <w:spacing w:line="360" w:lineRule="auto"/>
              <w:rPr>
                <w:rFonts w:ascii="宋体" w:hAnsi="宋体" w:cs="宋体"/>
                <w:color w:val="000000"/>
                <w:sz w:val="24"/>
                <w:highlight w:val="yellow"/>
              </w:rPr>
            </w:pPr>
          </w:p>
        </w:tc>
      </w:tr>
      <w:tr>
        <w:trPr>
          <w:trHeight w:val="322" w:hRule="atLeast"/>
        </w:trPr>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b/>
                <w:bCs/>
                <w:color w:val="000000"/>
                <w:sz w:val="24"/>
                <w:highlight w:val="yellow"/>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color w:val="000000"/>
                <w:sz w:val="24"/>
                <w:highlight w:val="yellow"/>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color w:val="000000"/>
                <w:sz w:val="24"/>
                <w:highlight w:val="yellow"/>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Pr>
          <w:p>
            <w:pPr>
              <w:spacing w:line="360" w:lineRule="auto"/>
              <w:rPr>
                <w:rFonts w:ascii="宋体" w:hAnsi="宋体" w:cs="宋体"/>
                <w:color w:val="000000"/>
                <w:sz w:val="24"/>
                <w:highlight w:val="yellow"/>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color w:val="000000"/>
                <w:sz w:val="24"/>
                <w:highlight w:val="yellow"/>
              </w:rPr>
            </w:pP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tcPr>
          <w:p>
            <w:pPr>
              <w:spacing w:line="360" w:lineRule="auto"/>
              <w:rPr>
                <w:rFonts w:ascii="宋体" w:hAnsi="宋体" w:cs="宋体"/>
                <w:color w:val="000000"/>
                <w:sz w:val="24"/>
                <w:highlight w:val="yellow"/>
              </w:rPr>
            </w:pPr>
          </w:p>
        </w:tc>
      </w:tr>
      <w:tr>
        <w:trPr>
          <w:trHeight w:val="322" w:hRule="atLeast"/>
        </w:trPr>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b/>
                <w:bCs/>
                <w:color w:val="000000"/>
                <w:sz w:val="24"/>
                <w:highlight w:val="yellow"/>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color w:val="000000"/>
                <w:sz w:val="24"/>
                <w:highlight w:val="yellow"/>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color w:val="000000"/>
                <w:sz w:val="24"/>
                <w:highlight w:val="yellow"/>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Pr>
          <w:p>
            <w:pPr>
              <w:spacing w:line="360" w:lineRule="auto"/>
              <w:rPr>
                <w:rFonts w:ascii="宋体" w:hAnsi="宋体" w:cs="宋体"/>
                <w:color w:val="000000"/>
                <w:sz w:val="24"/>
                <w:highlight w:val="yellow"/>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color w:val="000000"/>
                <w:sz w:val="24"/>
                <w:highlight w:val="yellow"/>
              </w:rPr>
            </w:pP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tcPr>
          <w:p>
            <w:pPr>
              <w:spacing w:line="360" w:lineRule="auto"/>
              <w:rPr>
                <w:rFonts w:ascii="宋体" w:hAnsi="宋体" w:cs="宋体"/>
                <w:color w:val="000000"/>
                <w:sz w:val="24"/>
                <w:highlight w:val="yellow"/>
              </w:rPr>
            </w:pPr>
          </w:p>
        </w:tc>
      </w:tr>
      <w:tr>
        <w:trPr>
          <w:trHeight w:val="322" w:hRule="atLeast"/>
        </w:trPr>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b/>
                <w:bCs/>
                <w:color w:val="000000"/>
                <w:sz w:val="24"/>
                <w:highlight w:val="yellow"/>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color w:val="000000"/>
                <w:sz w:val="24"/>
                <w:highlight w:val="yellow"/>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color w:val="000000"/>
                <w:sz w:val="24"/>
                <w:highlight w:val="yellow"/>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Pr>
          <w:p>
            <w:pPr>
              <w:spacing w:line="360" w:lineRule="auto"/>
              <w:rPr>
                <w:rFonts w:ascii="宋体" w:hAnsi="宋体" w:cs="宋体"/>
                <w:color w:val="000000"/>
                <w:sz w:val="24"/>
                <w:highlight w:val="yellow"/>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color w:val="000000"/>
                <w:sz w:val="24"/>
                <w:highlight w:val="yellow"/>
              </w:rPr>
            </w:pP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tcPr>
          <w:p>
            <w:pPr>
              <w:spacing w:line="360" w:lineRule="auto"/>
              <w:rPr>
                <w:rFonts w:ascii="宋体" w:hAnsi="宋体" w:cs="宋体"/>
                <w:color w:val="000000"/>
                <w:sz w:val="24"/>
                <w:highlight w:val="yellow"/>
              </w:rPr>
            </w:pPr>
          </w:p>
        </w:tc>
      </w:tr>
      <w:tr>
        <w:trPr>
          <w:trHeight w:val="322" w:hRule="atLeast"/>
        </w:trPr>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b/>
                <w:bCs/>
                <w:color w:val="000000"/>
                <w:sz w:val="24"/>
                <w:highlight w:val="yellow"/>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color w:val="000000"/>
                <w:sz w:val="24"/>
                <w:highlight w:val="yellow"/>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color w:val="000000"/>
                <w:sz w:val="24"/>
                <w:highlight w:val="yellow"/>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Pr>
          <w:p>
            <w:pPr>
              <w:spacing w:line="360" w:lineRule="auto"/>
              <w:rPr>
                <w:rFonts w:ascii="宋体" w:hAnsi="宋体" w:cs="宋体"/>
                <w:color w:val="000000"/>
                <w:sz w:val="24"/>
                <w:highlight w:val="yellow"/>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color w:val="000000"/>
                <w:sz w:val="24"/>
                <w:highlight w:val="yellow"/>
              </w:rPr>
            </w:pP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tcPr>
          <w:p>
            <w:pPr>
              <w:spacing w:line="360" w:lineRule="auto"/>
              <w:rPr>
                <w:rFonts w:ascii="宋体" w:hAnsi="宋体" w:cs="宋体"/>
                <w:color w:val="000000"/>
                <w:sz w:val="24"/>
                <w:highlight w:val="yellow"/>
              </w:rPr>
            </w:pPr>
          </w:p>
        </w:tc>
      </w:tr>
      <w:tr>
        <w:trPr>
          <w:trHeight w:val="322" w:hRule="atLeast"/>
        </w:trPr>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b/>
                <w:bCs/>
                <w:color w:val="000000"/>
                <w:sz w:val="24"/>
                <w:highlight w:val="yellow"/>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color w:val="000000"/>
                <w:sz w:val="24"/>
                <w:highlight w:val="yellow"/>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color w:val="000000"/>
                <w:sz w:val="24"/>
                <w:highlight w:val="yellow"/>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Pr>
          <w:p>
            <w:pPr>
              <w:spacing w:line="360" w:lineRule="auto"/>
              <w:rPr>
                <w:rFonts w:ascii="宋体" w:hAnsi="宋体" w:cs="宋体"/>
                <w:color w:val="000000"/>
                <w:sz w:val="24"/>
                <w:highlight w:val="yellow"/>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color w:val="000000"/>
                <w:sz w:val="24"/>
                <w:highlight w:val="yellow"/>
              </w:rPr>
            </w:pP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tcPr>
          <w:p>
            <w:pPr>
              <w:spacing w:line="360" w:lineRule="auto"/>
              <w:rPr>
                <w:rFonts w:ascii="宋体" w:hAnsi="宋体" w:cs="宋体"/>
                <w:color w:val="000000"/>
                <w:sz w:val="24"/>
                <w:highlight w:val="yellow"/>
              </w:rPr>
            </w:pPr>
          </w:p>
        </w:tc>
      </w:tr>
      <w:tr>
        <w:trPr>
          <w:trHeight w:val="322" w:hRule="atLeast"/>
        </w:trPr>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b/>
                <w:bCs/>
                <w:color w:val="000000"/>
                <w:sz w:val="24"/>
                <w:highlight w:val="yellow"/>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color w:val="000000"/>
                <w:sz w:val="24"/>
                <w:highlight w:val="yellow"/>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color w:val="000000"/>
                <w:sz w:val="24"/>
                <w:highlight w:val="yellow"/>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Pr>
          <w:p>
            <w:pPr>
              <w:spacing w:line="360" w:lineRule="auto"/>
              <w:rPr>
                <w:rFonts w:ascii="宋体" w:hAnsi="宋体" w:cs="宋体"/>
                <w:color w:val="000000"/>
                <w:sz w:val="24"/>
                <w:highlight w:val="yellow"/>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color w:val="000000"/>
                <w:sz w:val="24"/>
                <w:highlight w:val="yellow"/>
              </w:rPr>
            </w:pP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tcPr>
          <w:p>
            <w:pPr>
              <w:spacing w:line="360" w:lineRule="auto"/>
              <w:rPr>
                <w:rFonts w:ascii="宋体" w:hAnsi="宋体" w:cs="宋体"/>
                <w:color w:val="000000"/>
                <w:sz w:val="24"/>
                <w:highlight w:val="yellow"/>
              </w:rPr>
            </w:pPr>
          </w:p>
        </w:tc>
      </w:tr>
      <w:tr>
        <w:trPr>
          <w:trHeight w:val="322" w:hRule="atLeast"/>
        </w:trPr>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b/>
                <w:bCs/>
                <w:color w:val="000000"/>
                <w:sz w:val="24"/>
                <w:highlight w:val="yellow"/>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color w:val="000000"/>
                <w:sz w:val="24"/>
                <w:highlight w:val="yellow"/>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color w:val="000000"/>
                <w:sz w:val="24"/>
                <w:highlight w:val="yellow"/>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Pr>
          <w:p>
            <w:pPr>
              <w:spacing w:line="360" w:lineRule="auto"/>
              <w:rPr>
                <w:rFonts w:ascii="宋体" w:hAnsi="宋体" w:cs="宋体"/>
                <w:color w:val="000000"/>
                <w:sz w:val="24"/>
                <w:highlight w:val="yellow"/>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color w:val="000000"/>
                <w:sz w:val="24"/>
                <w:highlight w:val="yellow"/>
              </w:rPr>
            </w:pP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tcPr>
          <w:p>
            <w:pPr>
              <w:spacing w:line="360" w:lineRule="auto"/>
              <w:rPr>
                <w:rFonts w:ascii="宋体" w:hAnsi="宋体" w:cs="宋体"/>
                <w:color w:val="000000"/>
                <w:sz w:val="24"/>
                <w:highlight w:val="yellow"/>
              </w:rPr>
            </w:pPr>
          </w:p>
        </w:tc>
      </w:tr>
      <w:tr>
        <w:trPr>
          <w:trHeight w:val="322" w:hRule="atLeast"/>
        </w:trPr>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b/>
                <w:bCs/>
                <w:color w:val="000000"/>
                <w:sz w:val="24"/>
                <w:highlight w:val="yellow"/>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color w:val="000000"/>
                <w:sz w:val="24"/>
                <w:highlight w:val="yellow"/>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color w:val="000000"/>
                <w:sz w:val="24"/>
                <w:highlight w:val="yellow"/>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Pr>
          <w:p>
            <w:pPr>
              <w:spacing w:line="360" w:lineRule="auto"/>
              <w:rPr>
                <w:rFonts w:ascii="宋体" w:hAnsi="宋体" w:cs="宋体"/>
                <w:color w:val="000000"/>
                <w:sz w:val="24"/>
                <w:highlight w:val="yellow"/>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cs="宋体"/>
                <w:color w:val="000000"/>
                <w:sz w:val="24"/>
                <w:highlight w:val="yellow"/>
              </w:rPr>
            </w:pP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tcPr>
          <w:p>
            <w:pPr>
              <w:spacing w:line="360" w:lineRule="auto"/>
              <w:rPr>
                <w:rFonts w:ascii="宋体" w:hAnsi="宋体" w:cs="宋体"/>
                <w:color w:val="000000"/>
                <w:sz w:val="24"/>
                <w:highlight w:val="yellow"/>
              </w:rPr>
            </w:pPr>
          </w:p>
        </w:tc>
      </w:tr>
      <w:tr>
        <w:trPr>
          <w:trHeight w:val="322" w:hRule="atLeast"/>
        </w:trPr>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highlight w:val="yellow"/>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highlight w:val="yellow"/>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微软雅黑" w:hAnsi="微软雅黑" w:eastAsia="微软雅黑" w:cs="微软雅黑"/>
                <w:color w:val="000000"/>
                <w:sz w:val="18"/>
                <w:szCs w:val="18"/>
                <w:highlight w:val="yellow"/>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Pr>
          <w:p>
            <w:pPr>
              <w:spacing w:line="360" w:lineRule="auto"/>
              <w:rPr>
                <w:rFonts w:ascii="微软雅黑" w:hAnsi="微软雅黑" w:eastAsia="微软雅黑" w:cs="微软雅黑"/>
                <w:color w:val="000000"/>
                <w:sz w:val="18"/>
                <w:szCs w:val="18"/>
                <w:highlight w:val="yellow"/>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微软雅黑" w:hAnsi="微软雅黑" w:eastAsia="微软雅黑"/>
                <w:color w:val="000000"/>
                <w:sz w:val="18"/>
                <w:szCs w:val="18"/>
                <w:highlight w:val="yellow"/>
              </w:rPr>
            </w:pP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tcPr>
          <w:p>
            <w:pPr>
              <w:spacing w:line="360" w:lineRule="auto"/>
              <w:rPr>
                <w:rFonts w:ascii="宋体" w:hAnsi="宋体" w:cs="宋体"/>
                <w:color w:val="000000"/>
                <w:sz w:val="24"/>
                <w:highlight w:val="yellow"/>
              </w:rPr>
            </w:pPr>
          </w:p>
        </w:tc>
      </w:tr>
    </w:tbl>
    <w:p>
      <w:pPr>
        <w:rPr>
          <w:rFonts w:ascii="宋体" w:hAnsi="宋体" w:cs="宋体"/>
          <w:color w:val="000000"/>
        </w:rPr>
      </w:pPr>
    </w:p>
    <w:p/>
    <w:p>
      <w:pPr>
        <w:pStyle w:val="2"/>
        <w:ind w:left="0" w:firstLine="0"/>
        <w:rPr>
          <w:color w:val="auto"/>
        </w:rPr>
      </w:pPr>
    </w:p>
    <w:p>
      <w:pPr>
        <w:pStyle w:val="2"/>
        <w:ind w:left="0" w:firstLine="0"/>
        <w:rPr>
          <w:color w:val="auto"/>
        </w:rPr>
      </w:pPr>
    </w:p>
    <w:p>
      <w:pPr>
        <w:pStyle w:val="2"/>
        <w:ind w:left="0" w:firstLine="0"/>
        <w:rPr>
          <w:color w:val="auto"/>
        </w:rPr>
      </w:pPr>
    </w:p>
    <w:p>
      <w:pPr>
        <w:pStyle w:val="2"/>
        <w:ind w:left="0" w:firstLine="0"/>
        <w:rPr>
          <w:color w:val="auto"/>
        </w:rPr>
      </w:pPr>
    </w:p>
    <w:p>
      <w:pPr>
        <w:pStyle w:val="2"/>
        <w:ind w:left="0" w:firstLine="0"/>
        <w:rPr>
          <w:color w:val="auto"/>
        </w:rPr>
      </w:pPr>
    </w:p>
    <w:p>
      <w:pPr>
        <w:pStyle w:val="2"/>
        <w:ind w:left="0" w:firstLine="0"/>
        <w:rPr>
          <w:color w:val="auto"/>
        </w:rPr>
      </w:pPr>
    </w:p>
    <w:p>
      <w:pPr>
        <w:pStyle w:val="2"/>
        <w:ind w:left="0" w:firstLine="0"/>
        <w:rPr>
          <w:color w:val="auto"/>
        </w:rPr>
      </w:pPr>
    </w:p>
    <w:p>
      <w:pPr>
        <w:pStyle w:val="2"/>
        <w:ind w:left="0" w:firstLine="0"/>
        <w:rPr>
          <w:color w:val="auto"/>
        </w:rPr>
      </w:pPr>
    </w:p>
    <w:p>
      <w:pPr>
        <w:pStyle w:val="2"/>
        <w:ind w:left="0" w:firstLine="0"/>
        <w:rPr>
          <w:color w:val="auto"/>
        </w:rPr>
      </w:pPr>
    </w:p>
    <w:p>
      <w:pPr>
        <w:pStyle w:val="2"/>
        <w:ind w:left="0" w:firstLine="0"/>
        <w:rPr>
          <w:color w:val="auto"/>
        </w:rPr>
      </w:pPr>
    </w:p>
    <w:p>
      <w:pPr>
        <w:pStyle w:val="2"/>
        <w:ind w:left="0" w:firstLine="0"/>
        <w:rPr>
          <w:color w:val="auto"/>
        </w:rPr>
      </w:pPr>
    </w:p>
    <w:p>
      <w:pPr>
        <w:pStyle w:val="2"/>
        <w:ind w:left="0" w:firstLine="0"/>
        <w:rPr>
          <w:color w:val="auto"/>
        </w:rPr>
      </w:pPr>
    </w:p>
    <w:p>
      <w:pPr>
        <w:pStyle w:val="2"/>
        <w:ind w:left="0" w:firstLine="0"/>
        <w:rPr>
          <w:color w:val="auto"/>
        </w:rPr>
      </w:pPr>
    </w:p>
    <w:p>
      <w:pPr>
        <w:pStyle w:val="2"/>
        <w:ind w:left="0" w:firstLine="0"/>
        <w:rPr>
          <w:color w:val="auto"/>
        </w:rPr>
      </w:pPr>
    </w:p>
    <w:sectPr>
      <w:headerReference r:id="rId5" w:type="default"/>
      <w:footerReference r:id="rId6" w:type="default"/>
      <w:pgSz w:w="11906" w:h="16838"/>
      <w:pgMar w:top="680" w:right="1418" w:bottom="856" w:left="1418" w:header="851" w:footer="992" w:gutter="0"/>
      <w:cols w:space="2"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Wingdings 2">
    <w:panose1 w:val="05020102010507070707"/>
    <w:charset w:val="00"/>
    <w:family w:val="auto"/>
    <w:pitch w:val="default"/>
    <w:sig w:usb0="00000000" w:usb1="00000000" w:usb2="00000000" w:usb3="00000000" w:csb0="80000000" w:csb1="00000000"/>
  </w:font>
  <w:font w:name="仿宋">
    <w:altName w:val="方正仿宋_GBK"/>
    <w:panose1 w:val="02010609060101010101"/>
    <w:charset w:val="86"/>
    <w:family w:val="auto"/>
    <w:pitch w:val="default"/>
    <w:sig w:usb0="00000000" w:usb1="00000000" w:usb2="00000016"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微软雅黑">
    <w:altName w:val="汉仪旗黑"/>
    <w:panose1 w:val="020B0503020204020204"/>
    <w:charset w:val="86"/>
    <w:family w:val="auto"/>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等线KW">
    <w:panose1 w:val="01010104010101010101"/>
    <w:charset w:val="86"/>
    <w:family w:val="auto"/>
    <w:pitch w:val="default"/>
    <w:sig w:usb0="800002BF" w:usb1="004F7CFA" w:usb2="00000000" w:usb3="00000000" w:csb0="00040001"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distribute"/>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29F1E"/>
    <w:multiLevelType w:val="singleLevel"/>
    <w:tmpl w:val="9E529F1E"/>
    <w:lvl w:ilvl="0" w:tentative="0">
      <w:start w:val="1"/>
      <w:numFmt w:val="decimal"/>
      <w:lvlText w:val="%1."/>
      <w:lvlJc w:val="left"/>
      <w:pPr>
        <w:ind w:left="425" w:hanging="425"/>
      </w:pPr>
      <w:rPr>
        <w:rFonts w:hint="default"/>
      </w:rPr>
    </w:lvl>
  </w:abstractNum>
  <w:abstractNum w:abstractNumId="1">
    <w:nsid w:val="D84B8E89"/>
    <w:multiLevelType w:val="singleLevel"/>
    <w:tmpl w:val="D84B8E89"/>
    <w:lvl w:ilvl="0" w:tentative="0">
      <w:start w:val="1"/>
      <w:numFmt w:val="decimal"/>
      <w:lvlText w:val="%1."/>
      <w:lvlJc w:val="left"/>
      <w:pPr>
        <w:ind w:left="425" w:hanging="425"/>
      </w:pPr>
      <w:rPr>
        <w:rFonts w:hint="default"/>
      </w:rPr>
    </w:lvl>
  </w:abstractNum>
  <w:abstractNum w:abstractNumId="2">
    <w:nsid w:val="E6F32A02"/>
    <w:multiLevelType w:val="singleLevel"/>
    <w:tmpl w:val="E6F32A02"/>
    <w:lvl w:ilvl="0" w:tentative="0">
      <w:start w:val="1"/>
      <w:numFmt w:val="decimal"/>
      <w:lvlText w:val="%1."/>
      <w:lvlJc w:val="left"/>
      <w:pPr>
        <w:ind w:left="425" w:hanging="425"/>
      </w:pPr>
      <w:rPr>
        <w:rFonts w:hint="default"/>
      </w:rPr>
    </w:lvl>
  </w:abstractNum>
  <w:abstractNum w:abstractNumId="3">
    <w:nsid w:val="EE8C41D5"/>
    <w:multiLevelType w:val="singleLevel"/>
    <w:tmpl w:val="EE8C41D5"/>
    <w:lvl w:ilvl="0" w:tentative="0">
      <w:start w:val="1"/>
      <w:numFmt w:val="decimal"/>
      <w:lvlText w:val="(%1)"/>
      <w:lvlJc w:val="left"/>
      <w:pPr>
        <w:ind w:left="845" w:hanging="425"/>
      </w:pPr>
      <w:rPr>
        <w:rFonts w:hint="default" w:ascii="仿宋" w:hAnsi="仿宋" w:eastAsia="仿宋" w:cs="仿宋"/>
        <w:sz w:val="28"/>
        <w:szCs w:val="28"/>
      </w:rPr>
    </w:lvl>
  </w:abstractNum>
  <w:abstractNum w:abstractNumId="4">
    <w:nsid w:val="FFDF3C78"/>
    <w:multiLevelType w:val="singleLevel"/>
    <w:tmpl w:val="FFDF3C78"/>
    <w:lvl w:ilvl="0" w:tentative="0">
      <w:start w:val="2"/>
      <w:numFmt w:val="decimal"/>
      <w:suff w:val="nothing"/>
      <w:lvlText w:val="（%1）"/>
      <w:lvlJc w:val="left"/>
    </w:lvl>
  </w:abstractNum>
  <w:abstractNum w:abstractNumId="5">
    <w:nsid w:val="00E1CC85"/>
    <w:multiLevelType w:val="singleLevel"/>
    <w:tmpl w:val="00E1CC85"/>
    <w:lvl w:ilvl="0" w:tentative="0">
      <w:start w:val="1"/>
      <w:numFmt w:val="decimal"/>
      <w:lvlText w:val="%1."/>
      <w:lvlJc w:val="left"/>
      <w:pPr>
        <w:ind w:left="425" w:hanging="425"/>
      </w:pPr>
      <w:rPr>
        <w:rFonts w:hint="default"/>
      </w:rPr>
    </w:lvl>
  </w:abstractNum>
  <w:abstractNum w:abstractNumId="6">
    <w:nsid w:val="0C21B494"/>
    <w:multiLevelType w:val="singleLevel"/>
    <w:tmpl w:val="0C21B494"/>
    <w:lvl w:ilvl="0" w:tentative="0">
      <w:start w:val="1"/>
      <w:numFmt w:val="decimal"/>
      <w:lvlText w:val="(%1)"/>
      <w:lvlJc w:val="left"/>
      <w:pPr>
        <w:ind w:left="845" w:hanging="425"/>
      </w:pPr>
      <w:rPr>
        <w:rFonts w:hint="default" w:ascii="仿宋" w:hAnsi="仿宋" w:eastAsia="仿宋" w:cs="仿宋"/>
        <w:sz w:val="28"/>
        <w:szCs w:val="28"/>
      </w:rPr>
    </w:lvl>
  </w:abstractNum>
  <w:abstractNum w:abstractNumId="7">
    <w:nsid w:val="1CA69641"/>
    <w:multiLevelType w:val="singleLevel"/>
    <w:tmpl w:val="1CA69641"/>
    <w:lvl w:ilvl="0" w:tentative="0">
      <w:start w:val="1"/>
      <w:numFmt w:val="decimal"/>
      <w:lvlText w:val="(%1)"/>
      <w:lvlJc w:val="left"/>
      <w:pPr>
        <w:ind w:left="845" w:hanging="425"/>
      </w:pPr>
      <w:rPr>
        <w:rFonts w:hint="default" w:ascii="仿宋" w:hAnsi="仿宋" w:eastAsia="仿宋" w:cs="仿宋"/>
        <w:sz w:val="28"/>
        <w:szCs w:val="28"/>
      </w:rPr>
    </w:lvl>
  </w:abstractNum>
  <w:abstractNum w:abstractNumId="8">
    <w:nsid w:val="53409094"/>
    <w:multiLevelType w:val="singleLevel"/>
    <w:tmpl w:val="53409094"/>
    <w:lvl w:ilvl="0" w:tentative="0">
      <w:start w:val="1"/>
      <w:numFmt w:val="decimal"/>
      <w:lvlText w:val="%1."/>
      <w:lvlJc w:val="left"/>
      <w:pPr>
        <w:ind w:left="425" w:hanging="425"/>
      </w:pPr>
      <w:rPr>
        <w:rFonts w:hint="default"/>
      </w:rPr>
    </w:lvl>
  </w:abstractNum>
  <w:abstractNum w:abstractNumId="9">
    <w:nsid w:val="70CDE69D"/>
    <w:multiLevelType w:val="singleLevel"/>
    <w:tmpl w:val="70CDE69D"/>
    <w:lvl w:ilvl="0" w:tentative="0">
      <w:start w:val="3"/>
      <w:numFmt w:val="chineseCounting"/>
      <w:suff w:val="space"/>
      <w:lvlText w:val="第%1条"/>
      <w:lvlJc w:val="left"/>
      <w:rPr>
        <w:rFonts w:hint="eastAsia"/>
      </w:rPr>
    </w:lvl>
  </w:abstractNum>
  <w:abstractNum w:abstractNumId="10">
    <w:nsid w:val="7F9F3A07"/>
    <w:multiLevelType w:val="singleLevel"/>
    <w:tmpl w:val="7F9F3A07"/>
    <w:lvl w:ilvl="0" w:tentative="0">
      <w:start w:val="3"/>
      <w:numFmt w:val="chineseCounting"/>
      <w:suff w:val="nothing"/>
      <w:lvlText w:val="%1、"/>
      <w:lvlJc w:val="left"/>
      <w:rPr>
        <w:rFonts w:hint="eastAsia"/>
      </w:rPr>
    </w:lvl>
  </w:abstractNum>
  <w:num w:numId="1">
    <w:abstractNumId w:val="9"/>
  </w:num>
  <w:num w:numId="2">
    <w:abstractNumId w:val="4"/>
  </w:num>
  <w:num w:numId="3">
    <w:abstractNumId w:val="10"/>
  </w:num>
  <w:num w:numId="4">
    <w:abstractNumId w:val="5"/>
  </w:num>
  <w:num w:numId="5">
    <w:abstractNumId w:val="0"/>
  </w:num>
  <w:num w:numId="6">
    <w:abstractNumId w:val="6"/>
  </w:num>
  <w:num w:numId="7">
    <w:abstractNumId w:val="3"/>
  </w:num>
  <w:num w:numId="8">
    <w:abstractNumId w:val="8"/>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iMjU5YzJkZWE5Y2M5MWUzZDAwNDEzOGYxMTVkY2QifQ=="/>
  </w:docVars>
  <w:rsids>
    <w:rsidRoot w:val="005D587C"/>
    <w:rsid w:val="00033FCB"/>
    <w:rsid w:val="00040C38"/>
    <w:rsid w:val="00042D78"/>
    <w:rsid w:val="00047FB5"/>
    <w:rsid w:val="00053EE0"/>
    <w:rsid w:val="00067C39"/>
    <w:rsid w:val="0007391F"/>
    <w:rsid w:val="00081A14"/>
    <w:rsid w:val="000820DC"/>
    <w:rsid w:val="00086246"/>
    <w:rsid w:val="000B103B"/>
    <w:rsid w:val="000C27E3"/>
    <w:rsid w:val="000D3009"/>
    <w:rsid w:val="000E26FD"/>
    <w:rsid w:val="001035E0"/>
    <w:rsid w:val="001358AF"/>
    <w:rsid w:val="00163B25"/>
    <w:rsid w:val="00186BF0"/>
    <w:rsid w:val="001A08B9"/>
    <w:rsid w:val="001D345D"/>
    <w:rsid w:val="001D3AC5"/>
    <w:rsid w:val="001D6188"/>
    <w:rsid w:val="001E4B68"/>
    <w:rsid w:val="001E5CDB"/>
    <w:rsid w:val="001E60C3"/>
    <w:rsid w:val="001F5CD3"/>
    <w:rsid w:val="001F71E4"/>
    <w:rsid w:val="002078E2"/>
    <w:rsid w:val="00221761"/>
    <w:rsid w:val="002245F6"/>
    <w:rsid w:val="00256D26"/>
    <w:rsid w:val="00267530"/>
    <w:rsid w:val="00272E6D"/>
    <w:rsid w:val="00282512"/>
    <w:rsid w:val="00287343"/>
    <w:rsid w:val="002964C5"/>
    <w:rsid w:val="002B4051"/>
    <w:rsid w:val="002B694B"/>
    <w:rsid w:val="002D1B74"/>
    <w:rsid w:val="002D7D10"/>
    <w:rsid w:val="002E5A7B"/>
    <w:rsid w:val="002F079F"/>
    <w:rsid w:val="002F101E"/>
    <w:rsid w:val="003153B1"/>
    <w:rsid w:val="003164A6"/>
    <w:rsid w:val="00326CEF"/>
    <w:rsid w:val="00334DF6"/>
    <w:rsid w:val="0034114B"/>
    <w:rsid w:val="00342D5F"/>
    <w:rsid w:val="00350C2A"/>
    <w:rsid w:val="00362924"/>
    <w:rsid w:val="0038194B"/>
    <w:rsid w:val="00383EE6"/>
    <w:rsid w:val="003A38C1"/>
    <w:rsid w:val="003A6818"/>
    <w:rsid w:val="003B0E5D"/>
    <w:rsid w:val="003B5ADC"/>
    <w:rsid w:val="003C209A"/>
    <w:rsid w:val="003C2DDD"/>
    <w:rsid w:val="003E15D8"/>
    <w:rsid w:val="00405255"/>
    <w:rsid w:val="00416070"/>
    <w:rsid w:val="004277C9"/>
    <w:rsid w:val="0045012E"/>
    <w:rsid w:val="00451961"/>
    <w:rsid w:val="004B0624"/>
    <w:rsid w:val="004B2108"/>
    <w:rsid w:val="004B2BAA"/>
    <w:rsid w:val="004B6FEF"/>
    <w:rsid w:val="004C227C"/>
    <w:rsid w:val="004C665D"/>
    <w:rsid w:val="004F7BFD"/>
    <w:rsid w:val="00521DC8"/>
    <w:rsid w:val="00521DDC"/>
    <w:rsid w:val="00531E46"/>
    <w:rsid w:val="00542F25"/>
    <w:rsid w:val="00551347"/>
    <w:rsid w:val="00555EA1"/>
    <w:rsid w:val="00567796"/>
    <w:rsid w:val="005930AC"/>
    <w:rsid w:val="00594FFF"/>
    <w:rsid w:val="005A7784"/>
    <w:rsid w:val="005C4538"/>
    <w:rsid w:val="005D587C"/>
    <w:rsid w:val="005D75DC"/>
    <w:rsid w:val="005E617D"/>
    <w:rsid w:val="006154D9"/>
    <w:rsid w:val="00621219"/>
    <w:rsid w:val="00627FC0"/>
    <w:rsid w:val="00642F38"/>
    <w:rsid w:val="00671D8D"/>
    <w:rsid w:val="00683C3E"/>
    <w:rsid w:val="00683E69"/>
    <w:rsid w:val="006934D1"/>
    <w:rsid w:val="006A66A6"/>
    <w:rsid w:val="006E6479"/>
    <w:rsid w:val="006F7345"/>
    <w:rsid w:val="00704E75"/>
    <w:rsid w:val="00707F84"/>
    <w:rsid w:val="00712C40"/>
    <w:rsid w:val="00723186"/>
    <w:rsid w:val="00741754"/>
    <w:rsid w:val="007475C1"/>
    <w:rsid w:val="00775440"/>
    <w:rsid w:val="00784AA6"/>
    <w:rsid w:val="00790E8D"/>
    <w:rsid w:val="007A3201"/>
    <w:rsid w:val="007B1EEA"/>
    <w:rsid w:val="007D0BA9"/>
    <w:rsid w:val="007D4284"/>
    <w:rsid w:val="0080572B"/>
    <w:rsid w:val="00810619"/>
    <w:rsid w:val="00824A37"/>
    <w:rsid w:val="00844344"/>
    <w:rsid w:val="00845917"/>
    <w:rsid w:val="00873868"/>
    <w:rsid w:val="008A576C"/>
    <w:rsid w:val="008B2E6D"/>
    <w:rsid w:val="008B7974"/>
    <w:rsid w:val="008C087A"/>
    <w:rsid w:val="008D748D"/>
    <w:rsid w:val="008F314E"/>
    <w:rsid w:val="009011EE"/>
    <w:rsid w:val="00915D4D"/>
    <w:rsid w:val="0092536D"/>
    <w:rsid w:val="009360EF"/>
    <w:rsid w:val="00973460"/>
    <w:rsid w:val="00980CE0"/>
    <w:rsid w:val="00982759"/>
    <w:rsid w:val="009A5B31"/>
    <w:rsid w:val="009C2DE4"/>
    <w:rsid w:val="009C6A27"/>
    <w:rsid w:val="009D0680"/>
    <w:rsid w:val="009D447A"/>
    <w:rsid w:val="00A02661"/>
    <w:rsid w:val="00A0514C"/>
    <w:rsid w:val="00A05276"/>
    <w:rsid w:val="00A11AF9"/>
    <w:rsid w:val="00A32AD3"/>
    <w:rsid w:val="00A65066"/>
    <w:rsid w:val="00A6530F"/>
    <w:rsid w:val="00A83778"/>
    <w:rsid w:val="00AA6969"/>
    <w:rsid w:val="00AB050A"/>
    <w:rsid w:val="00AC354B"/>
    <w:rsid w:val="00AF5F88"/>
    <w:rsid w:val="00B31AB8"/>
    <w:rsid w:val="00B425F7"/>
    <w:rsid w:val="00B66764"/>
    <w:rsid w:val="00B8341D"/>
    <w:rsid w:val="00BA17D4"/>
    <w:rsid w:val="00BB3CB1"/>
    <w:rsid w:val="00BD1161"/>
    <w:rsid w:val="00BF0E19"/>
    <w:rsid w:val="00BF2E99"/>
    <w:rsid w:val="00C07F7C"/>
    <w:rsid w:val="00C151A2"/>
    <w:rsid w:val="00C15F20"/>
    <w:rsid w:val="00C6416D"/>
    <w:rsid w:val="00C64D5C"/>
    <w:rsid w:val="00C668DC"/>
    <w:rsid w:val="00C81777"/>
    <w:rsid w:val="00C90039"/>
    <w:rsid w:val="00C90DBD"/>
    <w:rsid w:val="00C93A3E"/>
    <w:rsid w:val="00CA29F5"/>
    <w:rsid w:val="00CA3BF2"/>
    <w:rsid w:val="00CA3ED3"/>
    <w:rsid w:val="00CB670F"/>
    <w:rsid w:val="00CC02E9"/>
    <w:rsid w:val="00CC15B9"/>
    <w:rsid w:val="00CC2094"/>
    <w:rsid w:val="00CD14C5"/>
    <w:rsid w:val="00CE19D7"/>
    <w:rsid w:val="00CF14C7"/>
    <w:rsid w:val="00D01FAC"/>
    <w:rsid w:val="00D03BB2"/>
    <w:rsid w:val="00D3032B"/>
    <w:rsid w:val="00D412A9"/>
    <w:rsid w:val="00D45917"/>
    <w:rsid w:val="00D47CFC"/>
    <w:rsid w:val="00D5564E"/>
    <w:rsid w:val="00D56D28"/>
    <w:rsid w:val="00D630A7"/>
    <w:rsid w:val="00D65FE7"/>
    <w:rsid w:val="00D7409E"/>
    <w:rsid w:val="00D8321B"/>
    <w:rsid w:val="00D97E03"/>
    <w:rsid w:val="00DA259B"/>
    <w:rsid w:val="00DA4AE9"/>
    <w:rsid w:val="00E16EF7"/>
    <w:rsid w:val="00E40694"/>
    <w:rsid w:val="00E6672B"/>
    <w:rsid w:val="00E73F92"/>
    <w:rsid w:val="00EB6B14"/>
    <w:rsid w:val="00EC1F31"/>
    <w:rsid w:val="00EC444D"/>
    <w:rsid w:val="00EC599B"/>
    <w:rsid w:val="00ED0B59"/>
    <w:rsid w:val="00ED3B85"/>
    <w:rsid w:val="00ED789A"/>
    <w:rsid w:val="00EE1D21"/>
    <w:rsid w:val="00EF1E21"/>
    <w:rsid w:val="00F02403"/>
    <w:rsid w:val="00F4633F"/>
    <w:rsid w:val="00F55B5C"/>
    <w:rsid w:val="00F65942"/>
    <w:rsid w:val="00F71B94"/>
    <w:rsid w:val="00F73B54"/>
    <w:rsid w:val="00FB5CBD"/>
    <w:rsid w:val="00FD11AA"/>
    <w:rsid w:val="010B22B0"/>
    <w:rsid w:val="011B478C"/>
    <w:rsid w:val="011C44BE"/>
    <w:rsid w:val="013B4944"/>
    <w:rsid w:val="013C202F"/>
    <w:rsid w:val="01676350"/>
    <w:rsid w:val="01D2326E"/>
    <w:rsid w:val="01E613E2"/>
    <w:rsid w:val="01FE3264"/>
    <w:rsid w:val="023562FC"/>
    <w:rsid w:val="02445A7A"/>
    <w:rsid w:val="027D2E72"/>
    <w:rsid w:val="02B56E4B"/>
    <w:rsid w:val="02CB6C23"/>
    <w:rsid w:val="032A03F0"/>
    <w:rsid w:val="03726617"/>
    <w:rsid w:val="03B51295"/>
    <w:rsid w:val="03CC048A"/>
    <w:rsid w:val="04057F5F"/>
    <w:rsid w:val="047C1FF5"/>
    <w:rsid w:val="04826D2E"/>
    <w:rsid w:val="04DD3F64"/>
    <w:rsid w:val="05A351AD"/>
    <w:rsid w:val="05B9052D"/>
    <w:rsid w:val="06513245"/>
    <w:rsid w:val="06564422"/>
    <w:rsid w:val="06DC2725"/>
    <w:rsid w:val="074D53D1"/>
    <w:rsid w:val="07B61B58"/>
    <w:rsid w:val="07EA3CFB"/>
    <w:rsid w:val="07FC5336"/>
    <w:rsid w:val="081F5EE7"/>
    <w:rsid w:val="084F226D"/>
    <w:rsid w:val="089E3A0A"/>
    <w:rsid w:val="08D12385"/>
    <w:rsid w:val="093A27CA"/>
    <w:rsid w:val="096A6B6B"/>
    <w:rsid w:val="0973114B"/>
    <w:rsid w:val="099A456E"/>
    <w:rsid w:val="09B64DD6"/>
    <w:rsid w:val="09BC5DF0"/>
    <w:rsid w:val="09C45A90"/>
    <w:rsid w:val="09D51D5C"/>
    <w:rsid w:val="09F32D0A"/>
    <w:rsid w:val="0A00672A"/>
    <w:rsid w:val="0AE778EA"/>
    <w:rsid w:val="0AE95411"/>
    <w:rsid w:val="0AFF69E2"/>
    <w:rsid w:val="0B1A65E0"/>
    <w:rsid w:val="0B5D195B"/>
    <w:rsid w:val="0B5E045E"/>
    <w:rsid w:val="0BBF2298"/>
    <w:rsid w:val="0BD43AEB"/>
    <w:rsid w:val="0BF929F8"/>
    <w:rsid w:val="0C1D75DB"/>
    <w:rsid w:val="0C53397B"/>
    <w:rsid w:val="0C6F34BE"/>
    <w:rsid w:val="0C8849ED"/>
    <w:rsid w:val="0CC534C0"/>
    <w:rsid w:val="0CE3505F"/>
    <w:rsid w:val="0D307327"/>
    <w:rsid w:val="0D3140DB"/>
    <w:rsid w:val="0D386CF8"/>
    <w:rsid w:val="0D7F5E6D"/>
    <w:rsid w:val="0DB127B0"/>
    <w:rsid w:val="0DBD32DF"/>
    <w:rsid w:val="0EA829A1"/>
    <w:rsid w:val="0F1F3AF7"/>
    <w:rsid w:val="0F8B2F3A"/>
    <w:rsid w:val="0FD2385F"/>
    <w:rsid w:val="0FDE2AB3"/>
    <w:rsid w:val="100902FF"/>
    <w:rsid w:val="100D0B0B"/>
    <w:rsid w:val="105C0B87"/>
    <w:rsid w:val="105D549C"/>
    <w:rsid w:val="109C4CD3"/>
    <w:rsid w:val="116B0694"/>
    <w:rsid w:val="117D4B05"/>
    <w:rsid w:val="11BA79C2"/>
    <w:rsid w:val="11BC1004"/>
    <w:rsid w:val="11EC3808"/>
    <w:rsid w:val="11FA6155"/>
    <w:rsid w:val="11FE3E97"/>
    <w:rsid w:val="122A3D95"/>
    <w:rsid w:val="12490E8B"/>
    <w:rsid w:val="13010A9A"/>
    <w:rsid w:val="133A2500"/>
    <w:rsid w:val="137E66E3"/>
    <w:rsid w:val="13A8104B"/>
    <w:rsid w:val="13D8141D"/>
    <w:rsid w:val="13DA4490"/>
    <w:rsid w:val="13F61EC9"/>
    <w:rsid w:val="142D0F9E"/>
    <w:rsid w:val="142F42EF"/>
    <w:rsid w:val="147FE143"/>
    <w:rsid w:val="14F70C07"/>
    <w:rsid w:val="1504435F"/>
    <w:rsid w:val="15226C67"/>
    <w:rsid w:val="155B4F5F"/>
    <w:rsid w:val="15E36499"/>
    <w:rsid w:val="15EF0FCE"/>
    <w:rsid w:val="15FF1F8C"/>
    <w:rsid w:val="16247C45"/>
    <w:rsid w:val="166B755F"/>
    <w:rsid w:val="168B1A72"/>
    <w:rsid w:val="16F969DB"/>
    <w:rsid w:val="16FD3BA7"/>
    <w:rsid w:val="17486E4C"/>
    <w:rsid w:val="17B00542"/>
    <w:rsid w:val="17B127B3"/>
    <w:rsid w:val="17B81B2C"/>
    <w:rsid w:val="17F3730A"/>
    <w:rsid w:val="18062254"/>
    <w:rsid w:val="18155A6A"/>
    <w:rsid w:val="18250541"/>
    <w:rsid w:val="183C2A15"/>
    <w:rsid w:val="183C74C7"/>
    <w:rsid w:val="188C631B"/>
    <w:rsid w:val="189E3CDE"/>
    <w:rsid w:val="18D10538"/>
    <w:rsid w:val="190F1761"/>
    <w:rsid w:val="196B364E"/>
    <w:rsid w:val="197D7D98"/>
    <w:rsid w:val="199724DC"/>
    <w:rsid w:val="199F5B9F"/>
    <w:rsid w:val="19B857A2"/>
    <w:rsid w:val="19CF1C75"/>
    <w:rsid w:val="19D5313B"/>
    <w:rsid w:val="19D83220"/>
    <w:rsid w:val="19FD0EEC"/>
    <w:rsid w:val="19FD6B0F"/>
    <w:rsid w:val="1A051B3B"/>
    <w:rsid w:val="1A527FA7"/>
    <w:rsid w:val="1A6A7BF0"/>
    <w:rsid w:val="1A743543"/>
    <w:rsid w:val="1A901355"/>
    <w:rsid w:val="1B3C158C"/>
    <w:rsid w:val="1B523D51"/>
    <w:rsid w:val="1B8F41B8"/>
    <w:rsid w:val="1BB87849"/>
    <w:rsid w:val="1C136791"/>
    <w:rsid w:val="1C4C1CA3"/>
    <w:rsid w:val="1C5D1DFF"/>
    <w:rsid w:val="1C7646B5"/>
    <w:rsid w:val="1CB93253"/>
    <w:rsid w:val="1D5E6D7F"/>
    <w:rsid w:val="1D6C4267"/>
    <w:rsid w:val="1D8958C5"/>
    <w:rsid w:val="1DA11B7B"/>
    <w:rsid w:val="1DC9711C"/>
    <w:rsid w:val="1E351DAB"/>
    <w:rsid w:val="1E5007CD"/>
    <w:rsid w:val="1EBD1FED"/>
    <w:rsid w:val="1ECF746F"/>
    <w:rsid w:val="1ED03140"/>
    <w:rsid w:val="1EEB1A7F"/>
    <w:rsid w:val="1F29007A"/>
    <w:rsid w:val="1F7C594C"/>
    <w:rsid w:val="1F815B44"/>
    <w:rsid w:val="20435FC9"/>
    <w:rsid w:val="204A02A8"/>
    <w:rsid w:val="2050046B"/>
    <w:rsid w:val="206C4FEC"/>
    <w:rsid w:val="207E61A3"/>
    <w:rsid w:val="20950B79"/>
    <w:rsid w:val="20DA6F65"/>
    <w:rsid w:val="20F15AFB"/>
    <w:rsid w:val="210E39CB"/>
    <w:rsid w:val="213B0D78"/>
    <w:rsid w:val="218D35C1"/>
    <w:rsid w:val="21BE2CFB"/>
    <w:rsid w:val="21D416B5"/>
    <w:rsid w:val="21DE15EF"/>
    <w:rsid w:val="21E554B2"/>
    <w:rsid w:val="222E01D4"/>
    <w:rsid w:val="22625D7D"/>
    <w:rsid w:val="22AF2C2B"/>
    <w:rsid w:val="22B74341"/>
    <w:rsid w:val="232A5149"/>
    <w:rsid w:val="232A75FA"/>
    <w:rsid w:val="238C3394"/>
    <w:rsid w:val="244F5AC1"/>
    <w:rsid w:val="245C123A"/>
    <w:rsid w:val="246D27B7"/>
    <w:rsid w:val="24A3026E"/>
    <w:rsid w:val="24B76DCD"/>
    <w:rsid w:val="24FE7BE7"/>
    <w:rsid w:val="25441769"/>
    <w:rsid w:val="25496D80"/>
    <w:rsid w:val="259F2E44"/>
    <w:rsid w:val="25A441F4"/>
    <w:rsid w:val="25CA3B1B"/>
    <w:rsid w:val="260B6CF3"/>
    <w:rsid w:val="265F6BC2"/>
    <w:rsid w:val="26A67D0E"/>
    <w:rsid w:val="27104C02"/>
    <w:rsid w:val="272930E3"/>
    <w:rsid w:val="27732408"/>
    <w:rsid w:val="277C2D2E"/>
    <w:rsid w:val="27922D4D"/>
    <w:rsid w:val="28177609"/>
    <w:rsid w:val="282251AC"/>
    <w:rsid w:val="28273952"/>
    <w:rsid w:val="284D4DD9"/>
    <w:rsid w:val="285A21D4"/>
    <w:rsid w:val="285A74F6"/>
    <w:rsid w:val="28A26AF7"/>
    <w:rsid w:val="28C000C8"/>
    <w:rsid w:val="28CA5E7F"/>
    <w:rsid w:val="28CF1C92"/>
    <w:rsid w:val="28EB4394"/>
    <w:rsid w:val="29014B20"/>
    <w:rsid w:val="2916434C"/>
    <w:rsid w:val="292C2A21"/>
    <w:rsid w:val="296F228F"/>
    <w:rsid w:val="299777AD"/>
    <w:rsid w:val="29DC38D4"/>
    <w:rsid w:val="2A021C70"/>
    <w:rsid w:val="2A2303E4"/>
    <w:rsid w:val="2A263B34"/>
    <w:rsid w:val="2A3C4613"/>
    <w:rsid w:val="2AFE685E"/>
    <w:rsid w:val="2B0520E8"/>
    <w:rsid w:val="2B0813E1"/>
    <w:rsid w:val="2B464ADA"/>
    <w:rsid w:val="2B5116D2"/>
    <w:rsid w:val="2B724B56"/>
    <w:rsid w:val="2BA8191F"/>
    <w:rsid w:val="2BB331A5"/>
    <w:rsid w:val="2BC96E6C"/>
    <w:rsid w:val="2BE041B6"/>
    <w:rsid w:val="2BE27090"/>
    <w:rsid w:val="2BE912BD"/>
    <w:rsid w:val="2BF35C97"/>
    <w:rsid w:val="2BF37A45"/>
    <w:rsid w:val="2C2735F8"/>
    <w:rsid w:val="2C370601"/>
    <w:rsid w:val="2C6375EE"/>
    <w:rsid w:val="2C9C00DD"/>
    <w:rsid w:val="2CA74FCA"/>
    <w:rsid w:val="2CC85C9C"/>
    <w:rsid w:val="2CCB6C14"/>
    <w:rsid w:val="2CCE2260"/>
    <w:rsid w:val="2CEE645F"/>
    <w:rsid w:val="2D2B320F"/>
    <w:rsid w:val="2D371ACF"/>
    <w:rsid w:val="2D5228EF"/>
    <w:rsid w:val="2D7D36A2"/>
    <w:rsid w:val="2E155A5A"/>
    <w:rsid w:val="2E1A39AF"/>
    <w:rsid w:val="2E580034"/>
    <w:rsid w:val="2E9337BD"/>
    <w:rsid w:val="2EA642EF"/>
    <w:rsid w:val="2ED1017B"/>
    <w:rsid w:val="2ED950F9"/>
    <w:rsid w:val="2F0468A0"/>
    <w:rsid w:val="2F210D6D"/>
    <w:rsid w:val="2F6B1FE9"/>
    <w:rsid w:val="2FA06136"/>
    <w:rsid w:val="2FC811E9"/>
    <w:rsid w:val="302E01CE"/>
    <w:rsid w:val="303170C9"/>
    <w:rsid w:val="30510B2C"/>
    <w:rsid w:val="305B205D"/>
    <w:rsid w:val="305D29CD"/>
    <w:rsid w:val="305E56A9"/>
    <w:rsid w:val="30843362"/>
    <w:rsid w:val="30872E52"/>
    <w:rsid w:val="30BF10A4"/>
    <w:rsid w:val="30C938FB"/>
    <w:rsid w:val="31085E3A"/>
    <w:rsid w:val="31660EF4"/>
    <w:rsid w:val="31693A7C"/>
    <w:rsid w:val="31B37FF5"/>
    <w:rsid w:val="31B859B9"/>
    <w:rsid w:val="31C53C32"/>
    <w:rsid w:val="31F57C40"/>
    <w:rsid w:val="323A7FBB"/>
    <w:rsid w:val="323D1A1A"/>
    <w:rsid w:val="3251196A"/>
    <w:rsid w:val="326C44E4"/>
    <w:rsid w:val="327105C1"/>
    <w:rsid w:val="328029BE"/>
    <w:rsid w:val="3293788C"/>
    <w:rsid w:val="32D12944"/>
    <w:rsid w:val="336A2CE3"/>
    <w:rsid w:val="33F97BC3"/>
    <w:rsid w:val="347436ED"/>
    <w:rsid w:val="34C53F49"/>
    <w:rsid w:val="35031BE7"/>
    <w:rsid w:val="35072DD5"/>
    <w:rsid w:val="351647A5"/>
    <w:rsid w:val="352315D1"/>
    <w:rsid w:val="3555133A"/>
    <w:rsid w:val="357A76C3"/>
    <w:rsid w:val="35AB75E3"/>
    <w:rsid w:val="35BC534C"/>
    <w:rsid w:val="35CD1554"/>
    <w:rsid w:val="35FA23C9"/>
    <w:rsid w:val="361103DE"/>
    <w:rsid w:val="36152D6C"/>
    <w:rsid w:val="36297FB3"/>
    <w:rsid w:val="364E08CF"/>
    <w:rsid w:val="36527A5E"/>
    <w:rsid w:val="365B380F"/>
    <w:rsid w:val="367C0EA9"/>
    <w:rsid w:val="367D3B65"/>
    <w:rsid w:val="36C01374"/>
    <w:rsid w:val="36EF357B"/>
    <w:rsid w:val="36F6488E"/>
    <w:rsid w:val="37000A57"/>
    <w:rsid w:val="372BADC0"/>
    <w:rsid w:val="372F1B4E"/>
    <w:rsid w:val="37630335"/>
    <w:rsid w:val="3765054E"/>
    <w:rsid w:val="37706DCE"/>
    <w:rsid w:val="37B07419"/>
    <w:rsid w:val="37B22488"/>
    <w:rsid w:val="37C80142"/>
    <w:rsid w:val="3825542A"/>
    <w:rsid w:val="383E110E"/>
    <w:rsid w:val="38763ED8"/>
    <w:rsid w:val="387939C8"/>
    <w:rsid w:val="388020DF"/>
    <w:rsid w:val="388C54AA"/>
    <w:rsid w:val="388F07B5"/>
    <w:rsid w:val="38A636E4"/>
    <w:rsid w:val="397D13B0"/>
    <w:rsid w:val="398A5BAA"/>
    <w:rsid w:val="39E028F9"/>
    <w:rsid w:val="39FA28E7"/>
    <w:rsid w:val="3A4B4EF0"/>
    <w:rsid w:val="3A6B2BD0"/>
    <w:rsid w:val="3A7AD497"/>
    <w:rsid w:val="3A8F302F"/>
    <w:rsid w:val="3AD207AB"/>
    <w:rsid w:val="3AFD294A"/>
    <w:rsid w:val="3B061196"/>
    <w:rsid w:val="3B566CE4"/>
    <w:rsid w:val="3B9B2EAB"/>
    <w:rsid w:val="3BD74C8E"/>
    <w:rsid w:val="3BDC04F6"/>
    <w:rsid w:val="3BDDD5D7"/>
    <w:rsid w:val="3BE76F64"/>
    <w:rsid w:val="3BFA6BCE"/>
    <w:rsid w:val="3C1224E7"/>
    <w:rsid w:val="3C2829FA"/>
    <w:rsid w:val="3C460C37"/>
    <w:rsid w:val="3C4F7FD6"/>
    <w:rsid w:val="3C7C5835"/>
    <w:rsid w:val="3C8D02D7"/>
    <w:rsid w:val="3CB42BDF"/>
    <w:rsid w:val="3D703E18"/>
    <w:rsid w:val="3D7049DF"/>
    <w:rsid w:val="3D7A58D9"/>
    <w:rsid w:val="3D8250CD"/>
    <w:rsid w:val="3D8332B1"/>
    <w:rsid w:val="3DDA3906"/>
    <w:rsid w:val="3E8F7AA2"/>
    <w:rsid w:val="3EB37890"/>
    <w:rsid w:val="3EEB27FE"/>
    <w:rsid w:val="3EF936F6"/>
    <w:rsid w:val="3F60088B"/>
    <w:rsid w:val="3FCC3033"/>
    <w:rsid w:val="404134EE"/>
    <w:rsid w:val="405C44FB"/>
    <w:rsid w:val="4065258E"/>
    <w:rsid w:val="409475F1"/>
    <w:rsid w:val="40CC38D9"/>
    <w:rsid w:val="41185B04"/>
    <w:rsid w:val="41265D6F"/>
    <w:rsid w:val="41994908"/>
    <w:rsid w:val="41BD793C"/>
    <w:rsid w:val="41C55588"/>
    <w:rsid w:val="41D07070"/>
    <w:rsid w:val="41F25D9C"/>
    <w:rsid w:val="41FE3C68"/>
    <w:rsid w:val="420F2CA7"/>
    <w:rsid w:val="42436D7E"/>
    <w:rsid w:val="4272767D"/>
    <w:rsid w:val="42B0686A"/>
    <w:rsid w:val="42C12604"/>
    <w:rsid w:val="42F32ECC"/>
    <w:rsid w:val="430B4105"/>
    <w:rsid w:val="434F5A51"/>
    <w:rsid w:val="43770A30"/>
    <w:rsid w:val="439465C9"/>
    <w:rsid w:val="43BD0D4E"/>
    <w:rsid w:val="43C0014D"/>
    <w:rsid w:val="441464E3"/>
    <w:rsid w:val="44366A11"/>
    <w:rsid w:val="443E36A8"/>
    <w:rsid w:val="44401C50"/>
    <w:rsid w:val="44404292"/>
    <w:rsid w:val="444B0EF6"/>
    <w:rsid w:val="4478015F"/>
    <w:rsid w:val="44C81A04"/>
    <w:rsid w:val="45965BB9"/>
    <w:rsid w:val="45AB1823"/>
    <w:rsid w:val="45E61FA9"/>
    <w:rsid w:val="461A72FF"/>
    <w:rsid w:val="463260E7"/>
    <w:rsid w:val="465349D9"/>
    <w:rsid w:val="466E0D20"/>
    <w:rsid w:val="466E4959"/>
    <w:rsid w:val="467B090B"/>
    <w:rsid w:val="46B82572"/>
    <w:rsid w:val="46DD6418"/>
    <w:rsid w:val="46FC37FA"/>
    <w:rsid w:val="471643E5"/>
    <w:rsid w:val="47681ED3"/>
    <w:rsid w:val="476F4F4E"/>
    <w:rsid w:val="477C0DDF"/>
    <w:rsid w:val="47892AD7"/>
    <w:rsid w:val="478F466E"/>
    <w:rsid w:val="47ED5975"/>
    <w:rsid w:val="481B17E9"/>
    <w:rsid w:val="48790E7B"/>
    <w:rsid w:val="48946C39"/>
    <w:rsid w:val="48A00456"/>
    <w:rsid w:val="48A16BAF"/>
    <w:rsid w:val="48DB77B6"/>
    <w:rsid w:val="490C7F41"/>
    <w:rsid w:val="49314C51"/>
    <w:rsid w:val="49401D0F"/>
    <w:rsid w:val="49917A04"/>
    <w:rsid w:val="4997759D"/>
    <w:rsid w:val="499F0DB5"/>
    <w:rsid w:val="4A21237E"/>
    <w:rsid w:val="4A78588E"/>
    <w:rsid w:val="4A7E4552"/>
    <w:rsid w:val="4AAA5C63"/>
    <w:rsid w:val="4AC24684"/>
    <w:rsid w:val="4B1C17D7"/>
    <w:rsid w:val="4B3814C1"/>
    <w:rsid w:val="4BAA373B"/>
    <w:rsid w:val="4BCA01D5"/>
    <w:rsid w:val="4C0118B3"/>
    <w:rsid w:val="4C6B590D"/>
    <w:rsid w:val="4C714C8A"/>
    <w:rsid w:val="4C83676C"/>
    <w:rsid w:val="4CBD1C7E"/>
    <w:rsid w:val="4CD07C03"/>
    <w:rsid w:val="4CD57327"/>
    <w:rsid w:val="4D071450"/>
    <w:rsid w:val="4D3D2DBF"/>
    <w:rsid w:val="4D5625A2"/>
    <w:rsid w:val="4D58074A"/>
    <w:rsid w:val="4D665494"/>
    <w:rsid w:val="4D682F7A"/>
    <w:rsid w:val="4D6A2149"/>
    <w:rsid w:val="4D9E18A3"/>
    <w:rsid w:val="4DA24BE2"/>
    <w:rsid w:val="4DC332C4"/>
    <w:rsid w:val="4DCE1C69"/>
    <w:rsid w:val="4DDE00FE"/>
    <w:rsid w:val="4E191136"/>
    <w:rsid w:val="4E2B7AD2"/>
    <w:rsid w:val="4E3D7307"/>
    <w:rsid w:val="4E442702"/>
    <w:rsid w:val="4E693544"/>
    <w:rsid w:val="4E7B3D4E"/>
    <w:rsid w:val="4E8B75BB"/>
    <w:rsid w:val="4F1251D9"/>
    <w:rsid w:val="4F3D10CE"/>
    <w:rsid w:val="4F7F0575"/>
    <w:rsid w:val="4FFA62D9"/>
    <w:rsid w:val="50267B3A"/>
    <w:rsid w:val="50447FC0"/>
    <w:rsid w:val="506D39BB"/>
    <w:rsid w:val="50EA7DE4"/>
    <w:rsid w:val="513D15DF"/>
    <w:rsid w:val="517014BF"/>
    <w:rsid w:val="51735676"/>
    <w:rsid w:val="51735F6E"/>
    <w:rsid w:val="51A27694"/>
    <w:rsid w:val="51B90684"/>
    <w:rsid w:val="51C93FD6"/>
    <w:rsid w:val="51D57A6A"/>
    <w:rsid w:val="51F55A16"/>
    <w:rsid w:val="520D3F1C"/>
    <w:rsid w:val="52291A9E"/>
    <w:rsid w:val="524B01D4"/>
    <w:rsid w:val="524E6723"/>
    <w:rsid w:val="52807EC1"/>
    <w:rsid w:val="52C35B14"/>
    <w:rsid w:val="52DC6B3C"/>
    <w:rsid w:val="52E635B0"/>
    <w:rsid w:val="530F48B5"/>
    <w:rsid w:val="533C77AC"/>
    <w:rsid w:val="53980D4F"/>
    <w:rsid w:val="53986FA1"/>
    <w:rsid w:val="53D14722"/>
    <w:rsid w:val="53F046E7"/>
    <w:rsid w:val="53F91342"/>
    <w:rsid w:val="54221820"/>
    <w:rsid w:val="54290643"/>
    <w:rsid w:val="553B1D2A"/>
    <w:rsid w:val="55572544"/>
    <w:rsid w:val="55966B7A"/>
    <w:rsid w:val="55A661AC"/>
    <w:rsid w:val="56A417B8"/>
    <w:rsid w:val="56B440F1"/>
    <w:rsid w:val="56D4595C"/>
    <w:rsid w:val="57364B06"/>
    <w:rsid w:val="57435475"/>
    <w:rsid w:val="575841E3"/>
    <w:rsid w:val="57A03A32"/>
    <w:rsid w:val="57BB0A67"/>
    <w:rsid w:val="57C92802"/>
    <w:rsid w:val="57DF2F7B"/>
    <w:rsid w:val="57F33322"/>
    <w:rsid w:val="581E790C"/>
    <w:rsid w:val="5824580C"/>
    <w:rsid w:val="585316E8"/>
    <w:rsid w:val="58831EBF"/>
    <w:rsid w:val="58CD4FF7"/>
    <w:rsid w:val="58D5034F"/>
    <w:rsid w:val="58DF2F7C"/>
    <w:rsid w:val="58ED7088"/>
    <w:rsid w:val="58FC0E55"/>
    <w:rsid w:val="591744C4"/>
    <w:rsid w:val="594268F8"/>
    <w:rsid w:val="59713960"/>
    <w:rsid w:val="597E7244"/>
    <w:rsid w:val="598415BC"/>
    <w:rsid w:val="5995420D"/>
    <w:rsid w:val="59B475C6"/>
    <w:rsid w:val="59C2293C"/>
    <w:rsid w:val="59F052FD"/>
    <w:rsid w:val="5AA90C98"/>
    <w:rsid w:val="5AC93EE4"/>
    <w:rsid w:val="5ACE6433"/>
    <w:rsid w:val="5B647029"/>
    <w:rsid w:val="5B6C2D6A"/>
    <w:rsid w:val="5B8F43B5"/>
    <w:rsid w:val="5C2A748C"/>
    <w:rsid w:val="5C6D4EE7"/>
    <w:rsid w:val="5C82259C"/>
    <w:rsid w:val="5C90023B"/>
    <w:rsid w:val="5CAE75C8"/>
    <w:rsid w:val="5CDF6243"/>
    <w:rsid w:val="5CE74EE9"/>
    <w:rsid w:val="5CF96A3C"/>
    <w:rsid w:val="5D115948"/>
    <w:rsid w:val="5D704AEA"/>
    <w:rsid w:val="5D8D744A"/>
    <w:rsid w:val="5DE502F7"/>
    <w:rsid w:val="5E1960C3"/>
    <w:rsid w:val="5E5724E6"/>
    <w:rsid w:val="5E68756F"/>
    <w:rsid w:val="5E6B4884"/>
    <w:rsid w:val="5E853022"/>
    <w:rsid w:val="5E9936B8"/>
    <w:rsid w:val="5EC40C4A"/>
    <w:rsid w:val="5ECD5517"/>
    <w:rsid w:val="5ED724C0"/>
    <w:rsid w:val="5F5F1679"/>
    <w:rsid w:val="5FA016B7"/>
    <w:rsid w:val="5FA031A1"/>
    <w:rsid w:val="5FA251B7"/>
    <w:rsid w:val="5FEA0B84"/>
    <w:rsid w:val="5FEF9F9A"/>
    <w:rsid w:val="5FFF6BC7"/>
    <w:rsid w:val="6000663C"/>
    <w:rsid w:val="602D0A71"/>
    <w:rsid w:val="6031755C"/>
    <w:rsid w:val="603F12DC"/>
    <w:rsid w:val="606260FF"/>
    <w:rsid w:val="608214D6"/>
    <w:rsid w:val="60956CE9"/>
    <w:rsid w:val="61045C75"/>
    <w:rsid w:val="61677FB2"/>
    <w:rsid w:val="618741B1"/>
    <w:rsid w:val="61DB154D"/>
    <w:rsid w:val="61FD04BB"/>
    <w:rsid w:val="61FE363D"/>
    <w:rsid w:val="62991CA2"/>
    <w:rsid w:val="629A178C"/>
    <w:rsid w:val="62BD285A"/>
    <w:rsid w:val="62E83CA3"/>
    <w:rsid w:val="63310878"/>
    <w:rsid w:val="63704A7F"/>
    <w:rsid w:val="63775D30"/>
    <w:rsid w:val="63B555ED"/>
    <w:rsid w:val="63C92D65"/>
    <w:rsid w:val="63CB404D"/>
    <w:rsid w:val="641E6E0A"/>
    <w:rsid w:val="64306245"/>
    <w:rsid w:val="643257FF"/>
    <w:rsid w:val="645E744B"/>
    <w:rsid w:val="64CA44EE"/>
    <w:rsid w:val="64F13D19"/>
    <w:rsid w:val="64F34037"/>
    <w:rsid w:val="650A1380"/>
    <w:rsid w:val="65180DC6"/>
    <w:rsid w:val="651A2D19"/>
    <w:rsid w:val="652233EF"/>
    <w:rsid w:val="65527816"/>
    <w:rsid w:val="657F2796"/>
    <w:rsid w:val="65C406B1"/>
    <w:rsid w:val="65CA0BCF"/>
    <w:rsid w:val="65CD1335"/>
    <w:rsid w:val="6603474E"/>
    <w:rsid w:val="666F3B91"/>
    <w:rsid w:val="66971E23"/>
    <w:rsid w:val="66AB570C"/>
    <w:rsid w:val="66B01E8C"/>
    <w:rsid w:val="66B9221E"/>
    <w:rsid w:val="66BC66AA"/>
    <w:rsid w:val="66DC43BC"/>
    <w:rsid w:val="67052D2C"/>
    <w:rsid w:val="67134EAC"/>
    <w:rsid w:val="67252CD4"/>
    <w:rsid w:val="674C50C6"/>
    <w:rsid w:val="675C1F85"/>
    <w:rsid w:val="6760303B"/>
    <w:rsid w:val="6787237B"/>
    <w:rsid w:val="67AF3CCB"/>
    <w:rsid w:val="67BB4BB4"/>
    <w:rsid w:val="67BF4455"/>
    <w:rsid w:val="683230C8"/>
    <w:rsid w:val="685972D9"/>
    <w:rsid w:val="68703BF0"/>
    <w:rsid w:val="68860257"/>
    <w:rsid w:val="6899666C"/>
    <w:rsid w:val="689C2C37"/>
    <w:rsid w:val="68B27D65"/>
    <w:rsid w:val="68C30DB6"/>
    <w:rsid w:val="68CA0B1B"/>
    <w:rsid w:val="68D26659"/>
    <w:rsid w:val="69223FD7"/>
    <w:rsid w:val="69552D08"/>
    <w:rsid w:val="69902702"/>
    <w:rsid w:val="69981651"/>
    <w:rsid w:val="699B17C0"/>
    <w:rsid w:val="69C77840"/>
    <w:rsid w:val="69DB4658"/>
    <w:rsid w:val="6A2D4008"/>
    <w:rsid w:val="6A94006A"/>
    <w:rsid w:val="6AC65D4A"/>
    <w:rsid w:val="6AF705F9"/>
    <w:rsid w:val="6AFE6FA2"/>
    <w:rsid w:val="6B5F31E0"/>
    <w:rsid w:val="6B8503A0"/>
    <w:rsid w:val="6BB3468B"/>
    <w:rsid w:val="6BCA030A"/>
    <w:rsid w:val="6C5B4F64"/>
    <w:rsid w:val="6CBD29A7"/>
    <w:rsid w:val="6CDA1B2A"/>
    <w:rsid w:val="6CEF70ED"/>
    <w:rsid w:val="6D452F22"/>
    <w:rsid w:val="6D7D5D41"/>
    <w:rsid w:val="6DB60672"/>
    <w:rsid w:val="6DBE1372"/>
    <w:rsid w:val="6DCD73EF"/>
    <w:rsid w:val="6DFA631A"/>
    <w:rsid w:val="6E081593"/>
    <w:rsid w:val="6E0D1A6B"/>
    <w:rsid w:val="6E144D2F"/>
    <w:rsid w:val="6E245261"/>
    <w:rsid w:val="6E396E1A"/>
    <w:rsid w:val="6F6124E5"/>
    <w:rsid w:val="6F7C378A"/>
    <w:rsid w:val="6F9B77DB"/>
    <w:rsid w:val="6FAD411A"/>
    <w:rsid w:val="6FDD480D"/>
    <w:rsid w:val="6FFE1330"/>
    <w:rsid w:val="6FFF2C72"/>
    <w:rsid w:val="703A34DA"/>
    <w:rsid w:val="705410A6"/>
    <w:rsid w:val="705638DF"/>
    <w:rsid w:val="70FC6B6D"/>
    <w:rsid w:val="710B5C1C"/>
    <w:rsid w:val="71107825"/>
    <w:rsid w:val="711820D8"/>
    <w:rsid w:val="718B35E3"/>
    <w:rsid w:val="71F25676"/>
    <w:rsid w:val="71F71538"/>
    <w:rsid w:val="722C07C8"/>
    <w:rsid w:val="72483AD0"/>
    <w:rsid w:val="72691611"/>
    <w:rsid w:val="7275252F"/>
    <w:rsid w:val="729606F7"/>
    <w:rsid w:val="72A32C3B"/>
    <w:rsid w:val="72C72651"/>
    <w:rsid w:val="731A4072"/>
    <w:rsid w:val="733221CE"/>
    <w:rsid w:val="73B83624"/>
    <w:rsid w:val="74692C3E"/>
    <w:rsid w:val="74780A2A"/>
    <w:rsid w:val="747A0002"/>
    <w:rsid w:val="748B278C"/>
    <w:rsid w:val="74900C49"/>
    <w:rsid w:val="74BC0F05"/>
    <w:rsid w:val="74C6734B"/>
    <w:rsid w:val="74E97204"/>
    <w:rsid w:val="75114065"/>
    <w:rsid w:val="7526093B"/>
    <w:rsid w:val="757A7E5C"/>
    <w:rsid w:val="75972E76"/>
    <w:rsid w:val="75A4312B"/>
    <w:rsid w:val="75B7541E"/>
    <w:rsid w:val="75DE584B"/>
    <w:rsid w:val="76530DD9"/>
    <w:rsid w:val="76C277F8"/>
    <w:rsid w:val="76E45ED5"/>
    <w:rsid w:val="76EE1B3A"/>
    <w:rsid w:val="76FC7EDD"/>
    <w:rsid w:val="76FD0D45"/>
    <w:rsid w:val="770F5597"/>
    <w:rsid w:val="771F96EC"/>
    <w:rsid w:val="77620260"/>
    <w:rsid w:val="776808B4"/>
    <w:rsid w:val="77800072"/>
    <w:rsid w:val="779C230C"/>
    <w:rsid w:val="77E71775"/>
    <w:rsid w:val="77ED6E88"/>
    <w:rsid w:val="77F3B800"/>
    <w:rsid w:val="77F40244"/>
    <w:rsid w:val="781850C6"/>
    <w:rsid w:val="78283651"/>
    <w:rsid w:val="783D3402"/>
    <w:rsid w:val="78697AA0"/>
    <w:rsid w:val="788F630A"/>
    <w:rsid w:val="78AB254A"/>
    <w:rsid w:val="78D64477"/>
    <w:rsid w:val="78F16CAC"/>
    <w:rsid w:val="79D20267"/>
    <w:rsid w:val="7A6660F8"/>
    <w:rsid w:val="7A7632E8"/>
    <w:rsid w:val="7AE216F5"/>
    <w:rsid w:val="7B3F7B7E"/>
    <w:rsid w:val="7B556C4B"/>
    <w:rsid w:val="7B687214"/>
    <w:rsid w:val="7B754063"/>
    <w:rsid w:val="7B8639ED"/>
    <w:rsid w:val="7B967CAD"/>
    <w:rsid w:val="7B9C125F"/>
    <w:rsid w:val="7BBA0FB3"/>
    <w:rsid w:val="7BE5422D"/>
    <w:rsid w:val="7BEB3862"/>
    <w:rsid w:val="7BF26D24"/>
    <w:rsid w:val="7BFF31AD"/>
    <w:rsid w:val="7BFF511C"/>
    <w:rsid w:val="7C1901D3"/>
    <w:rsid w:val="7C1E59E5"/>
    <w:rsid w:val="7C4B5497"/>
    <w:rsid w:val="7CFD5236"/>
    <w:rsid w:val="7D16791C"/>
    <w:rsid w:val="7D6521D4"/>
    <w:rsid w:val="7D6E7260"/>
    <w:rsid w:val="7DDD617E"/>
    <w:rsid w:val="7DEF6074"/>
    <w:rsid w:val="7DFF561C"/>
    <w:rsid w:val="7E005A92"/>
    <w:rsid w:val="7E1E7F1F"/>
    <w:rsid w:val="7E22425A"/>
    <w:rsid w:val="7E4567DE"/>
    <w:rsid w:val="7EAF0B77"/>
    <w:rsid w:val="7EB75C7D"/>
    <w:rsid w:val="7EBF0DE1"/>
    <w:rsid w:val="7EC6133E"/>
    <w:rsid w:val="7F3D4547"/>
    <w:rsid w:val="7F5142F1"/>
    <w:rsid w:val="7F7255AD"/>
    <w:rsid w:val="7FA57E32"/>
    <w:rsid w:val="7FB30466"/>
    <w:rsid w:val="7FEA409A"/>
    <w:rsid w:val="7FEADC97"/>
    <w:rsid w:val="7FFBB60A"/>
    <w:rsid w:val="BE5742F0"/>
    <w:rsid w:val="BEED22BC"/>
    <w:rsid w:val="BF4FC8B8"/>
    <w:rsid w:val="CFB7E04B"/>
    <w:rsid w:val="D2DE29AA"/>
    <w:rsid w:val="E6BB5D27"/>
    <w:rsid w:val="EAFF3063"/>
    <w:rsid w:val="EBFB06A2"/>
    <w:rsid w:val="EBFB99BB"/>
    <w:rsid w:val="EFBBF1D1"/>
    <w:rsid w:val="F175D86F"/>
    <w:rsid w:val="F5FCFED6"/>
    <w:rsid w:val="FBF5C7E5"/>
    <w:rsid w:val="FDEBF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semiHidden="0" w:name="heading 4"/>
    <w:lsdException w:qFormat="1" w:uiPriority="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480" w:line="415" w:lineRule="auto"/>
      <w:outlineLvl w:val="1"/>
    </w:pPr>
    <w:rPr>
      <w:rFonts w:ascii="Arial" w:hAnsi="Arial" w:eastAsia="黑体"/>
      <w:b/>
      <w:bCs/>
      <w:sz w:val="32"/>
      <w:szCs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5">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18" w:firstLine="480"/>
    </w:pPr>
    <w:rPr>
      <w:rFonts w:ascii="宋体" w:hAnsi="宋体" w:cs="宋体"/>
      <w:sz w:val="24"/>
    </w:rPr>
  </w:style>
  <w:style w:type="paragraph" w:styleId="6">
    <w:name w:val="annotation text"/>
    <w:basedOn w:val="1"/>
    <w:link w:val="24"/>
    <w:unhideWhenUsed/>
    <w:qFormat/>
    <w:uiPriority w:val="99"/>
    <w:pPr>
      <w:jc w:val="left"/>
    </w:pPr>
  </w:style>
  <w:style w:type="paragraph" w:styleId="7">
    <w:name w:val="Balloon Text"/>
    <w:basedOn w:val="1"/>
    <w:link w:val="23"/>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sz w:val="24"/>
    </w:rPr>
  </w:style>
  <w:style w:type="paragraph" w:styleId="11">
    <w:name w:val="annotation subject"/>
    <w:basedOn w:val="6"/>
    <w:next w:val="6"/>
    <w:link w:val="25"/>
    <w:unhideWhenUsed/>
    <w:qFormat/>
    <w:uiPriority w:val="99"/>
    <w:rPr>
      <w:b/>
      <w:bCs/>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bCs/>
    </w:rPr>
  </w:style>
  <w:style w:type="character" w:styleId="16">
    <w:name w:val="page number"/>
    <w:basedOn w:val="14"/>
    <w:qFormat/>
    <w:uiPriority w:val="0"/>
  </w:style>
  <w:style w:type="character" w:styleId="17">
    <w:name w:val="Emphasis"/>
    <w:basedOn w:val="14"/>
    <w:qFormat/>
    <w:uiPriority w:val="20"/>
    <w:rPr>
      <w:i/>
    </w:rPr>
  </w:style>
  <w:style w:type="character" w:styleId="18">
    <w:name w:val="Hyperlink"/>
    <w:basedOn w:val="14"/>
    <w:unhideWhenUsed/>
    <w:qFormat/>
    <w:uiPriority w:val="99"/>
    <w:rPr>
      <w:color w:val="0000FF"/>
      <w:u w:val="single"/>
    </w:rPr>
  </w:style>
  <w:style w:type="character" w:styleId="19">
    <w:name w:val="annotation reference"/>
    <w:basedOn w:val="14"/>
    <w:unhideWhenUsed/>
    <w:qFormat/>
    <w:uiPriority w:val="99"/>
    <w:rPr>
      <w:sz w:val="21"/>
      <w:szCs w:val="21"/>
    </w:rPr>
  </w:style>
  <w:style w:type="character" w:customStyle="1" w:styleId="20">
    <w:name w:val="页眉 字符"/>
    <w:basedOn w:val="14"/>
    <w:link w:val="9"/>
    <w:qFormat/>
    <w:uiPriority w:val="0"/>
    <w:rPr>
      <w:rFonts w:ascii="Times New Roman" w:hAnsi="Times New Roman" w:eastAsia="宋体" w:cs="Times New Roman"/>
      <w:sz w:val="18"/>
      <w:szCs w:val="18"/>
    </w:rPr>
  </w:style>
  <w:style w:type="character" w:customStyle="1" w:styleId="21">
    <w:name w:val="页脚 字符"/>
    <w:basedOn w:val="14"/>
    <w:link w:val="8"/>
    <w:qFormat/>
    <w:uiPriority w:val="99"/>
    <w:rPr>
      <w:rFonts w:ascii="Times New Roman" w:hAnsi="Times New Roman" w:eastAsia="宋体" w:cs="Times New Roman"/>
      <w:sz w:val="18"/>
      <w:szCs w:val="18"/>
    </w:rPr>
  </w:style>
  <w:style w:type="paragraph" w:customStyle="1" w:styleId="22">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3">
    <w:name w:val="批注框文本 字符"/>
    <w:basedOn w:val="14"/>
    <w:link w:val="7"/>
    <w:semiHidden/>
    <w:qFormat/>
    <w:uiPriority w:val="99"/>
    <w:rPr>
      <w:rFonts w:ascii="Times New Roman" w:hAnsi="Times New Roman" w:eastAsia="宋体" w:cs="Times New Roman"/>
      <w:sz w:val="18"/>
      <w:szCs w:val="18"/>
    </w:rPr>
  </w:style>
  <w:style w:type="character" w:customStyle="1" w:styleId="24">
    <w:name w:val="批注文字 字符"/>
    <w:basedOn w:val="14"/>
    <w:link w:val="6"/>
    <w:semiHidden/>
    <w:qFormat/>
    <w:uiPriority w:val="99"/>
    <w:rPr>
      <w:rFonts w:ascii="Times New Roman" w:hAnsi="Times New Roman" w:eastAsia="宋体" w:cs="Times New Roman"/>
      <w:szCs w:val="24"/>
    </w:rPr>
  </w:style>
  <w:style w:type="character" w:customStyle="1" w:styleId="25">
    <w:name w:val="批注主题 字符"/>
    <w:basedOn w:val="24"/>
    <w:link w:val="11"/>
    <w:semiHidden/>
    <w:qFormat/>
    <w:uiPriority w:val="99"/>
    <w:rPr>
      <w:rFonts w:ascii="Times New Roman" w:hAnsi="Times New Roman" w:eastAsia="宋体" w:cs="Times New Roman"/>
      <w:b/>
      <w:bCs/>
      <w:szCs w:val="24"/>
    </w:rPr>
  </w:style>
  <w:style w:type="paragraph" w:customStyle="1" w:styleId="26">
    <w:name w:val="列表段落1"/>
    <w:basedOn w:val="1"/>
    <w:qFormat/>
    <w:uiPriority w:val="34"/>
    <w:pPr>
      <w:ind w:firstLine="420" w:firstLineChars="200"/>
    </w:pPr>
  </w:style>
  <w:style w:type="character" w:customStyle="1" w:styleId="27">
    <w:name w:val="entname"/>
    <w:basedOn w:val="14"/>
    <w:qFormat/>
    <w:uiPriority w:val="0"/>
  </w:style>
  <w:style w:type="character" w:customStyle="1" w:styleId="28">
    <w:name w:val="o_form_field"/>
    <w:basedOn w:val="14"/>
    <w:qFormat/>
    <w:uiPriority w:val="0"/>
  </w:style>
  <w:style w:type="character" w:customStyle="1" w:styleId="29">
    <w:name w:val="正文文本缩进 2 Char"/>
    <w:link w:val="30"/>
    <w:qFormat/>
    <w:locked/>
    <w:uiPriority w:val="99"/>
    <w:rPr>
      <w:rFonts w:ascii="宋体" w:eastAsia="宋体"/>
      <w:sz w:val="24"/>
    </w:rPr>
  </w:style>
  <w:style w:type="paragraph" w:customStyle="1" w:styleId="30">
    <w:name w:val="Body Text Indent 21"/>
    <w:basedOn w:val="1"/>
    <w:link w:val="29"/>
    <w:qFormat/>
    <w:uiPriority w:val="99"/>
    <w:pPr>
      <w:spacing w:line="400" w:lineRule="exact"/>
      <w:ind w:left="103"/>
    </w:pPr>
    <w:rPr>
      <w:rFonts w:ascii="宋体" w:hAnsiTheme="minorHAnsi" w:cstheme="minorBidi"/>
      <w:sz w:val="24"/>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10850</Words>
  <Characters>11163</Characters>
  <Lines>47</Lines>
  <Paragraphs>13</Paragraphs>
  <TotalTime>5</TotalTime>
  <ScaleCrop>false</ScaleCrop>
  <LinksUpToDate>false</LinksUpToDate>
  <CharactersWithSpaces>11463</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2022-05-30T07:42:00Z</dcterms:created>
  <dc:creator>xb21cn</dc:creator>
  <cp:lastModifiedBy>QYQ</cp:lastModifiedBy>
  <cp:lastPrinted>2020-03-28T09:42:00Z</cp:lastPrinted>
  <dcterms:modified xsi:type="dcterms:W3CDTF">2025-03-24T13:24:49Z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9CF691DF3D34417D8E0271F3A51E8695_13</vt:lpwstr>
  </property>
  <property fmtid="{D5CDD505-2E9C-101B-9397-08002B2CF9AE}" pid="4" name="KSOTemplateDocerSaveRecord">
    <vt:lpwstr>eyJoZGlkIjoiYmQ3NjQxYmZmN2ZkODIxYWNiNTEzMzQyMTZmNzQ1MmMiLCJ1c2VySWQiOiIyNTMyOTgwMzEifQ==</vt:lpwstr>
  </property>
</Properties>
</file>