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color w:val="auto"/>
          <w:sz w:val="24"/>
          <w:szCs w:val="24"/>
          <w:highlight w:val="none"/>
        </w:rPr>
      </w:pPr>
      <w:r>
        <w:drawing>
          <wp:anchor distT="0" distB="0" distL="114300" distR="114300" simplePos="0" relativeHeight="251659264" behindDoc="0" locked="0" layoutInCell="1" allowOverlap="1">
            <wp:simplePos x="0" y="0"/>
            <wp:positionH relativeFrom="margin">
              <wp:posOffset>5114290</wp:posOffset>
            </wp:positionH>
            <wp:positionV relativeFrom="paragraph">
              <wp:posOffset>-241300</wp:posOffset>
            </wp:positionV>
            <wp:extent cx="1288415" cy="377190"/>
            <wp:effectExtent l="0" t="0" r="6985" b="3810"/>
            <wp:wrapNone/>
            <wp:docPr id="2" name="图片 2" descr="/Users/tangshiquan/Documents/运荔枝/2022年品牌资料/2022版本运荔枝logo/运荔枝logo3.0（终版）v2曲-06.png运荔枝logo3.0（终版）v2曲-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tangshiquan/Documents/运荔枝/2022年品牌资料/2022版本运荔枝logo/运荔枝logo3.0（终版）v2曲-06.png运荔枝logo3.0（终版）v2曲-06"/>
                    <pic:cNvPicPr>
                      <a:picLocks noChangeAspect="1" noChangeArrowheads="1"/>
                    </pic:cNvPicPr>
                  </pic:nvPicPr>
                  <pic:blipFill>
                    <a:blip r:embed="rId6"/>
                    <a:srcRect/>
                    <a:stretch>
                      <a:fillRect/>
                    </a:stretch>
                  </pic:blipFill>
                  <pic:spPr>
                    <a:xfrm>
                      <a:off x="0" y="0"/>
                      <a:ext cx="1288415" cy="377190"/>
                    </a:xfrm>
                    <a:prstGeom prst="rect">
                      <a:avLst/>
                    </a:prstGeom>
                    <a:noFill/>
                    <a:ln>
                      <a:noFill/>
                    </a:ln>
                  </pic:spPr>
                </pic:pic>
              </a:graphicData>
            </a:graphic>
          </wp:anchor>
        </w:drawing>
      </w:r>
    </w:p>
    <w:p>
      <w:pPr>
        <w:spacing w:line="276" w:lineRule="auto"/>
        <w:ind w:right="6"/>
        <w:jc w:val="center"/>
        <w:rPr>
          <w:rFonts w:ascii="黑体" w:hAnsi="黑体" w:eastAsia="黑体" w:cs="黑体"/>
          <w:color w:val="auto"/>
          <w:sz w:val="43"/>
          <w:szCs w:val="43"/>
          <w:highlight w:val="none"/>
        </w:rPr>
      </w:pPr>
    </w:p>
    <w:p>
      <w:pPr>
        <w:spacing w:line="276" w:lineRule="auto"/>
        <w:ind w:right="6"/>
        <w:jc w:val="center"/>
        <w:rPr>
          <w:rFonts w:ascii="黑体" w:hAnsi="黑体" w:eastAsia="黑体" w:cs="黑体"/>
          <w:color w:val="auto"/>
          <w:sz w:val="43"/>
          <w:szCs w:val="43"/>
          <w:highlight w:val="none"/>
        </w:rPr>
      </w:pPr>
    </w:p>
    <w:p>
      <w:pPr>
        <w:spacing w:line="276" w:lineRule="auto"/>
        <w:ind w:right="6"/>
        <w:jc w:val="center"/>
        <w:rPr>
          <w:rFonts w:ascii="黑体" w:hAnsi="黑体" w:eastAsia="黑体" w:cs="黑体"/>
          <w:color w:val="auto"/>
          <w:sz w:val="43"/>
          <w:szCs w:val="43"/>
          <w:highlight w:val="none"/>
        </w:rPr>
      </w:pPr>
    </w:p>
    <w:p>
      <w:pPr>
        <w:spacing w:line="276" w:lineRule="auto"/>
        <w:ind w:right="6"/>
        <w:jc w:val="center"/>
        <w:rPr>
          <w:rFonts w:ascii="黑体" w:hAnsi="黑体" w:eastAsia="黑体" w:cs="黑体"/>
          <w:color w:val="auto"/>
          <w:sz w:val="43"/>
          <w:szCs w:val="43"/>
          <w:highlight w:val="none"/>
        </w:rPr>
      </w:pPr>
    </w:p>
    <w:p>
      <w:pPr>
        <w:spacing w:before="156" w:beforeLines="50" w:after="156" w:afterLines="50" w:line="276" w:lineRule="auto"/>
        <w:ind w:right="6"/>
        <w:jc w:val="center"/>
        <w:rPr>
          <w:rFonts w:asciiTheme="minorEastAsia" w:hAnsiTheme="minorEastAsia"/>
          <w:b/>
          <w:color w:val="auto"/>
          <w:sz w:val="20"/>
          <w:highlight w:val="none"/>
        </w:rPr>
      </w:pPr>
      <w:r>
        <w:rPr>
          <w:rFonts w:hint="eastAsia" w:asciiTheme="minorEastAsia" w:hAnsiTheme="minorEastAsia"/>
          <w:b/>
          <w:color w:val="auto"/>
          <w:sz w:val="43"/>
          <w:highlight w:val="none"/>
        </w:rPr>
        <w:t>运输服务合同</w:t>
      </w:r>
    </w:p>
    <w:p>
      <w:pPr>
        <w:spacing w:line="276" w:lineRule="auto"/>
        <w:rPr>
          <w:color w:val="auto"/>
          <w:sz w:val="24"/>
          <w:szCs w:val="24"/>
          <w:highlight w:val="none"/>
        </w:rPr>
      </w:pPr>
    </w:p>
    <w:p>
      <w:pPr>
        <w:spacing w:line="276" w:lineRule="auto"/>
        <w:rPr>
          <w:color w:val="auto"/>
          <w:sz w:val="24"/>
          <w:szCs w:val="24"/>
          <w:highlight w:val="none"/>
        </w:rPr>
      </w:pPr>
    </w:p>
    <w:p>
      <w:pPr>
        <w:spacing w:line="276" w:lineRule="auto"/>
        <w:rPr>
          <w:color w:val="auto"/>
          <w:sz w:val="24"/>
          <w:szCs w:val="24"/>
          <w:highlight w:val="none"/>
        </w:rPr>
      </w:pPr>
    </w:p>
    <w:p>
      <w:pPr>
        <w:spacing w:line="276" w:lineRule="auto"/>
        <w:rPr>
          <w:color w:val="auto"/>
          <w:sz w:val="24"/>
          <w:szCs w:val="24"/>
          <w:highlight w:val="none"/>
        </w:rPr>
      </w:pPr>
    </w:p>
    <w:p>
      <w:pPr>
        <w:spacing w:line="276" w:lineRule="auto"/>
        <w:rPr>
          <w:color w:val="auto"/>
          <w:sz w:val="24"/>
          <w:szCs w:val="24"/>
          <w:highlight w:val="none"/>
        </w:rPr>
      </w:pPr>
    </w:p>
    <w:p>
      <w:pPr>
        <w:spacing w:line="276" w:lineRule="auto"/>
        <w:rPr>
          <w:color w:val="auto"/>
          <w:sz w:val="24"/>
          <w:szCs w:val="24"/>
          <w:highlight w:val="none"/>
        </w:rPr>
      </w:pPr>
    </w:p>
    <w:p>
      <w:pPr>
        <w:spacing w:line="276" w:lineRule="auto"/>
        <w:rPr>
          <w:color w:val="auto"/>
          <w:sz w:val="24"/>
          <w:szCs w:val="24"/>
          <w:highlight w:val="none"/>
        </w:rPr>
      </w:pPr>
    </w:p>
    <w:p>
      <w:pPr>
        <w:spacing w:line="276" w:lineRule="auto"/>
        <w:rPr>
          <w:color w:val="auto"/>
          <w:sz w:val="24"/>
          <w:szCs w:val="24"/>
          <w:highlight w:val="none"/>
        </w:rPr>
      </w:pPr>
    </w:p>
    <w:p>
      <w:pPr>
        <w:spacing w:before="312" w:beforeLines="100" w:after="312" w:afterLines="100" w:line="276" w:lineRule="auto"/>
        <w:ind w:firstLine="2080" w:firstLineChars="740"/>
        <w:rPr>
          <w:rFonts w:hint="eastAsia" w:eastAsia="宋体" w:asciiTheme="minorEastAsia" w:hAnsiTheme="minorEastAsia"/>
          <w:b/>
          <w:bCs/>
          <w:color w:val="auto"/>
          <w:sz w:val="28"/>
          <w:szCs w:val="28"/>
          <w:highlight w:val="none"/>
          <w:u w:val="single"/>
          <w:lang w:val="en-US" w:eastAsia="zh-CN"/>
        </w:rPr>
      </w:pPr>
      <w:r>
        <w:rPr>
          <w:rFonts w:hint="eastAsia" w:asciiTheme="minorEastAsia" w:hAnsiTheme="minorEastAsia"/>
          <w:b/>
          <w:color w:val="auto"/>
          <w:sz w:val="28"/>
          <w:highlight w:val="none"/>
        </w:rPr>
        <w:t>甲方（运荔枝）：</w:t>
      </w:r>
      <w:r>
        <w:rPr>
          <w:rFonts w:hint="eastAsia" w:asciiTheme="minorEastAsia" w:hAnsiTheme="minorEastAsia"/>
          <w:b/>
          <w:color w:val="auto"/>
          <w:sz w:val="28"/>
          <w:highlight w:val="none"/>
          <w:lang w:val="en-US" w:eastAsia="zh-CN"/>
        </w:rPr>
        <w:t xml:space="preserve">                      </w:t>
      </w:r>
      <w:r>
        <w:rPr>
          <w:rFonts w:hint="eastAsia" w:asciiTheme="minorEastAsia" w:hAnsiTheme="minorEastAsia"/>
          <w:b/>
          <w:color w:val="auto"/>
          <w:sz w:val="28"/>
          <w:highlight w:val="none"/>
          <w:u w:val="single"/>
          <w:lang w:val="en-US" w:eastAsia="zh-CN"/>
        </w:rPr>
        <w:t xml:space="preserve"> </w:t>
      </w:r>
    </w:p>
    <w:p>
      <w:pPr>
        <w:spacing w:before="312" w:beforeLines="100" w:after="312" w:afterLines="100" w:line="276" w:lineRule="auto"/>
        <w:ind w:firstLine="2080" w:firstLineChars="740"/>
        <w:rPr>
          <w:rFonts w:hint="eastAsia" w:asciiTheme="minorEastAsia" w:hAnsiTheme="minorEastAsia"/>
          <w:b/>
          <w:color w:val="auto"/>
          <w:sz w:val="28"/>
          <w:highlight w:val="none"/>
          <w:lang w:eastAsia="zh-CN"/>
        </w:rPr>
      </w:pPr>
      <w:r>
        <w:rPr>
          <w:rFonts w:hint="eastAsia" w:asciiTheme="minorEastAsia" w:hAnsiTheme="minorEastAsia"/>
          <w:b/>
          <w:color w:val="auto"/>
          <w:sz w:val="28"/>
          <w:highlight w:val="none"/>
        </w:rPr>
        <w:t>乙方（</w:t>
      </w:r>
      <w:r>
        <w:rPr>
          <w:rFonts w:hint="eastAsia" w:asciiTheme="minorEastAsia" w:hAnsiTheme="minorEastAsia"/>
          <w:b/>
          <w:color w:val="auto"/>
          <w:sz w:val="28"/>
          <w:highlight w:val="none"/>
          <w:lang w:val="en-US" w:eastAsia="zh-CN"/>
        </w:rPr>
        <w:t>承运商</w:t>
      </w:r>
      <w:r>
        <w:rPr>
          <w:rFonts w:hint="eastAsia" w:asciiTheme="minorEastAsia" w:hAnsiTheme="minorEastAsia"/>
          <w:b/>
          <w:color w:val="auto"/>
          <w:sz w:val="28"/>
          <w:highlight w:val="none"/>
        </w:rPr>
        <w:t>）</w:t>
      </w:r>
      <w:r>
        <w:rPr>
          <w:rFonts w:hint="eastAsia" w:asciiTheme="minorEastAsia" w:hAnsiTheme="minorEastAsia"/>
          <w:b/>
          <w:color w:val="auto"/>
          <w:sz w:val="28"/>
          <w:highlight w:val="none"/>
          <w:lang w:eastAsia="zh-CN"/>
        </w:rPr>
        <w:t>：</w:t>
      </w:r>
      <w:r>
        <w:rPr>
          <w:rFonts w:hint="eastAsia" w:asciiTheme="minorEastAsia" w:hAnsiTheme="minorEastAsia"/>
          <w:b/>
          <w:color w:val="auto"/>
          <w:sz w:val="28"/>
          <w:highlight w:val="none"/>
          <w:u w:val="single"/>
          <w:lang w:val="en-US" w:eastAsia="zh-CN"/>
        </w:rPr>
        <w:t xml:space="preserve">                       </w:t>
      </w:r>
    </w:p>
    <w:p>
      <w:pPr>
        <w:spacing w:before="312" w:beforeLines="100" w:after="312" w:afterLines="100" w:line="276" w:lineRule="auto"/>
        <w:ind w:firstLine="2080" w:firstLineChars="740"/>
        <w:rPr>
          <w:rFonts w:hint="default" w:ascii="仿宋" w:hAnsi="仿宋" w:eastAsia="宋体" w:cs="Microsoft Sans Serif"/>
          <w:b/>
          <w:color w:val="auto"/>
          <w:sz w:val="36"/>
          <w:szCs w:val="36"/>
          <w:highlight w:val="none"/>
          <w:lang w:val="en-US" w:eastAsia="zh-CN"/>
        </w:rPr>
        <w:sectPr>
          <w:headerReference r:id="rId3" w:type="default"/>
          <w:footerReference r:id="rId4" w:type="default"/>
          <w:pgSz w:w="11906" w:h="16838"/>
          <w:pgMar w:top="851" w:right="851" w:bottom="851" w:left="851" w:header="567" w:footer="992" w:gutter="0"/>
          <w:cols w:space="425" w:num="1"/>
          <w:docGrid w:type="lines" w:linePitch="312" w:charSpace="0"/>
        </w:sectPr>
      </w:pPr>
      <w:r>
        <w:rPr>
          <w:rFonts w:hint="eastAsia" w:asciiTheme="minorEastAsia" w:hAnsiTheme="minorEastAsia"/>
          <w:b/>
          <w:color w:val="auto"/>
          <w:sz w:val="28"/>
          <w:highlight w:val="none"/>
        </w:rPr>
        <w:t>合</w:t>
      </w:r>
      <w:r>
        <w:rPr>
          <w:rFonts w:asciiTheme="minorEastAsia" w:hAnsiTheme="minorEastAsia"/>
          <w:b/>
          <w:color w:val="auto"/>
          <w:sz w:val="28"/>
          <w:highlight w:val="none"/>
        </w:rPr>
        <w:t xml:space="preserve"> </w:t>
      </w:r>
      <w:r>
        <w:rPr>
          <w:rFonts w:hint="eastAsia" w:asciiTheme="minorEastAsia" w:hAnsiTheme="minorEastAsia"/>
          <w:b/>
          <w:color w:val="auto"/>
          <w:sz w:val="28"/>
          <w:highlight w:val="none"/>
        </w:rPr>
        <w:t>同</w:t>
      </w:r>
      <w:r>
        <w:rPr>
          <w:rFonts w:asciiTheme="minorEastAsia" w:hAnsiTheme="minorEastAsia"/>
          <w:b/>
          <w:color w:val="auto"/>
          <w:sz w:val="28"/>
          <w:highlight w:val="none"/>
        </w:rPr>
        <w:t xml:space="preserve"> </w:t>
      </w:r>
      <w:r>
        <w:rPr>
          <w:rFonts w:hint="eastAsia" w:asciiTheme="minorEastAsia" w:hAnsiTheme="minorEastAsia"/>
          <w:b/>
          <w:color w:val="auto"/>
          <w:sz w:val="28"/>
          <w:highlight w:val="none"/>
        </w:rPr>
        <w:t>编</w:t>
      </w:r>
      <w:r>
        <w:rPr>
          <w:rFonts w:asciiTheme="minorEastAsia" w:hAnsiTheme="minorEastAsia"/>
          <w:b/>
          <w:color w:val="auto"/>
          <w:sz w:val="28"/>
          <w:highlight w:val="none"/>
        </w:rPr>
        <w:t xml:space="preserve"> </w:t>
      </w:r>
      <w:r>
        <w:rPr>
          <w:rFonts w:hint="eastAsia" w:asciiTheme="minorEastAsia" w:hAnsiTheme="minorEastAsia"/>
          <w:b/>
          <w:color w:val="auto"/>
          <w:sz w:val="28"/>
          <w:highlight w:val="none"/>
        </w:rPr>
        <w:t>号：</w:t>
      </w:r>
      <w:r>
        <w:rPr>
          <w:rFonts w:hint="eastAsia" w:asciiTheme="minorEastAsia" w:hAnsiTheme="minorEastAsia"/>
          <w:b/>
          <w:color w:val="auto"/>
          <w:sz w:val="28"/>
          <w:highlight w:val="none"/>
          <w:u w:val="single"/>
          <w:lang w:val="en-US" w:eastAsia="zh-CN"/>
        </w:rPr>
        <w:t xml:space="preserve">                          </w:t>
      </w:r>
    </w:p>
    <w:p>
      <w:pPr>
        <w:spacing w:line="276" w:lineRule="auto"/>
        <w:rPr>
          <w:b/>
          <w:color w:val="auto"/>
          <w:szCs w:val="21"/>
          <w:highlight w:val="none"/>
        </w:rPr>
      </w:pPr>
      <w:r>
        <w:rPr>
          <w:rFonts w:hint="eastAsia"/>
          <w:b/>
          <w:color w:val="auto"/>
          <w:sz w:val="24"/>
          <w:szCs w:val="24"/>
          <w:highlight w:val="none"/>
        </w:rPr>
        <w:t xml:space="preserve"> </w:t>
      </w:r>
      <w:r>
        <w:rPr>
          <w:b/>
          <w:color w:val="auto"/>
          <w:sz w:val="24"/>
          <w:szCs w:val="24"/>
          <w:highlight w:val="none"/>
        </w:rPr>
        <w:t xml:space="preserve">   </w:t>
      </w:r>
      <w:r>
        <w:rPr>
          <w:rFonts w:hint="eastAsia"/>
          <w:b/>
          <w:color w:val="auto"/>
          <w:szCs w:val="21"/>
          <w:highlight w:val="none"/>
        </w:rPr>
        <w:t>甲方：</w:t>
      </w:r>
    </w:p>
    <w:p>
      <w:pPr>
        <w:spacing w:line="276" w:lineRule="auto"/>
        <w:rPr>
          <w:rFonts w:hint="default" w:eastAsia="宋体"/>
          <w:b/>
          <w:color w:val="auto"/>
          <w:szCs w:val="21"/>
          <w:highlight w:val="none"/>
          <w:lang w:val="en-US" w:eastAsia="zh-CN"/>
        </w:rPr>
      </w:pPr>
      <w:r>
        <w:rPr>
          <w:rFonts w:hint="eastAsia"/>
          <w:b/>
          <w:color w:val="auto"/>
          <w:szCs w:val="21"/>
          <w:highlight w:val="none"/>
        </w:rPr>
        <w:t xml:space="preserve"> </w:t>
      </w:r>
      <w:r>
        <w:rPr>
          <w:b/>
          <w:color w:val="auto"/>
          <w:szCs w:val="21"/>
          <w:highlight w:val="none"/>
        </w:rPr>
        <w:t xml:space="preserve">    </w:t>
      </w:r>
      <w:r>
        <w:rPr>
          <w:rFonts w:hint="eastAsia"/>
          <w:b/>
          <w:color w:val="auto"/>
          <w:szCs w:val="21"/>
          <w:highlight w:val="none"/>
        </w:rPr>
        <w:t>地址：</w:t>
      </w:r>
    </w:p>
    <w:p>
      <w:pPr>
        <w:spacing w:line="276" w:lineRule="auto"/>
        <w:rPr>
          <w:b/>
          <w:color w:val="auto"/>
          <w:szCs w:val="21"/>
          <w:highlight w:val="none"/>
        </w:rPr>
      </w:pPr>
    </w:p>
    <w:p>
      <w:pPr>
        <w:spacing w:line="276" w:lineRule="auto"/>
        <w:rPr>
          <w:b/>
          <w:color w:val="auto"/>
          <w:szCs w:val="21"/>
          <w:highlight w:val="none"/>
        </w:rPr>
      </w:pPr>
      <w:r>
        <w:rPr>
          <w:rFonts w:hint="eastAsia"/>
          <w:b/>
          <w:color w:val="auto"/>
          <w:szCs w:val="21"/>
          <w:highlight w:val="none"/>
        </w:rPr>
        <w:t xml:space="preserve"> </w:t>
      </w:r>
      <w:r>
        <w:rPr>
          <w:b/>
          <w:color w:val="auto"/>
          <w:szCs w:val="21"/>
          <w:highlight w:val="none"/>
        </w:rPr>
        <w:t xml:space="preserve">    </w:t>
      </w:r>
      <w:r>
        <w:rPr>
          <w:rFonts w:hint="eastAsia"/>
          <w:b/>
          <w:color w:val="auto"/>
          <w:szCs w:val="21"/>
          <w:highlight w:val="none"/>
        </w:rPr>
        <w:t>乙方：</w:t>
      </w:r>
    </w:p>
    <w:p>
      <w:pPr>
        <w:spacing w:line="276" w:lineRule="auto"/>
        <w:rPr>
          <w:rFonts w:hint="default" w:eastAsia="宋体"/>
          <w:b/>
          <w:color w:val="auto"/>
          <w:szCs w:val="21"/>
          <w:highlight w:val="none"/>
          <w:lang w:val="en-US" w:eastAsia="zh-CN"/>
        </w:rPr>
      </w:pPr>
      <w:r>
        <w:rPr>
          <w:rFonts w:hint="eastAsia"/>
          <w:b/>
          <w:color w:val="auto"/>
          <w:szCs w:val="21"/>
          <w:highlight w:val="none"/>
        </w:rPr>
        <w:t xml:space="preserve"> </w:t>
      </w:r>
      <w:r>
        <w:rPr>
          <w:b/>
          <w:color w:val="auto"/>
          <w:szCs w:val="21"/>
          <w:highlight w:val="none"/>
        </w:rPr>
        <w:t xml:space="preserve">    </w:t>
      </w:r>
      <w:r>
        <w:rPr>
          <w:rFonts w:hint="eastAsia"/>
          <w:b/>
          <w:color w:val="auto"/>
          <w:szCs w:val="21"/>
          <w:highlight w:val="none"/>
        </w:rPr>
        <w:t>地址：</w:t>
      </w:r>
    </w:p>
    <w:p>
      <w:pPr>
        <w:pStyle w:val="5"/>
        <w:spacing w:before="156" w:beforeLines="50" w:after="156" w:afterLines="50" w:line="276" w:lineRule="auto"/>
        <w:ind w:left="105" w:leftChars="50" w:firstLine="420" w:firstLineChars="200"/>
        <w:rPr>
          <w:rFonts w:hAnsi="宋体"/>
          <w:b/>
          <w:color w:val="auto"/>
          <w:sz w:val="21"/>
          <w:szCs w:val="21"/>
          <w:highlight w:val="none"/>
        </w:rPr>
      </w:pPr>
      <w:r>
        <w:rPr>
          <w:rFonts w:hint="eastAsia" w:hAnsi="宋体"/>
          <w:color w:val="auto"/>
          <w:sz w:val="21"/>
          <w:szCs w:val="21"/>
          <w:highlight w:val="none"/>
        </w:rPr>
        <w:t>依照《中华人民共和国</w:t>
      </w:r>
      <w:r>
        <w:rPr>
          <w:rFonts w:hint="eastAsia" w:hAnsi="宋体"/>
          <w:color w:val="auto"/>
          <w:sz w:val="21"/>
          <w:szCs w:val="21"/>
          <w:highlight w:val="none"/>
          <w:lang w:val="en-US" w:eastAsia="zh-CN"/>
        </w:rPr>
        <w:t>民法典</w:t>
      </w:r>
      <w:r>
        <w:rPr>
          <w:rFonts w:hint="eastAsia" w:hAnsi="宋体"/>
          <w:color w:val="auto"/>
          <w:sz w:val="21"/>
          <w:szCs w:val="21"/>
          <w:highlight w:val="none"/>
        </w:rPr>
        <w:t>》及其它相关法律法规的规定，甲乙双方本着平等互惠的原则，在协商一致的基础上就甲方委托乙方提供运输服务及其他物流附加服务相关事宜达成如下协议，以资共同信守。</w:t>
      </w:r>
    </w:p>
    <w:p>
      <w:pPr>
        <w:pStyle w:val="5"/>
        <w:spacing w:before="156" w:beforeLines="50" w:after="156" w:afterLines="50" w:line="276" w:lineRule="auto"/>
        <w:ind w:left="0"/>
        <w:rPr>
          <w:rFonts w:hAnsi="宋体"/>
          <w:b/>
          <w:color w:val="auto"/>
          <w:sz w:val="21"/>
          <w:szCs w:val="21"/>
          <w:highlight w:val="none"/>
        </w:rPr>
      </w:pPr>
      <w:r>
        <w:rPr>
          <w:rFonts w:hint="eastAsia" w:hAnsi="宋体"/>
          <w:b/>
          <w:color w:val="auto"/>
          <w:sz w:val="21"/>
          <w:szCs w:val="21"/>
          <w:highlight w:val="none"/>
        </w:rPr>
        <w:t>一、委托事项</w:t>
      </w:r>
    </w:p>
    <w:p>
      <w:pPr>
        <w:widowControl/>
        <w:spacing w:before="156" w:beforeLines="50" w:after="156" w:afterLines="50" w:line="276"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 xml:space="preserve"> 1.1运输服务：乙方按照甲方运输订单要求，将甲方的货物运输到指定地点。乙方提供的运输服务内容包括：实物运输</w:t>
      </w:r>
      <w:r>
        <w:rPr>
          <w:rFonts w:hint="eastAsia" w:ascii="Times New Roman" w:hAnsi="Times New Roman"/>
          <w:color w:val="auto"/>
          <w:szCs w:val="21"/>
          <w:highlight w:val="none"/>
        </w:rPr>
        <w:t>和</w:t>
      </w:r>
      <w:r>
        <w:rPr>
          <w:rFonts w:ascii="Times New Roman" w:hAnsi="Times New Roman"/>
          <w:color w:val="auto"/>
          <w:szCs w:val="21"/>
          <w:highlight w:val="none"/>
        </w:rPr>
        <w:t>温度管理。</w:t>
      </w:r>
    </w:p>
    <w:p>
      <w:pPr>
        <w:widowControl/>
        <w:spacing w:before="156" w:beforeLines="50" w:after="156" w:afterLines="50" w:line="276"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 xml:space="preserve"> 1.2附加服务：</w:t>
      </w:r>
      <w:r>
        <w:rPr>
          <w:rFonts w:hint="eastAsia" w:ascii="Times New Roman" w:hAnsi="Times New Roman"/>
          <w:color w:val="auto"/>
          <w:szCs w:val="21"/>
          <w:highlight w:val="none"/>
        </w:rPr>
        <w:t>甲方需要乙方提供运输附加服务的，经双方协商确认，甲方按照附件一的《运输附加服务价格表》承担相应费用。乙方</w:t>
      </w:r>
      <w:r>
        <w:rPr>
          <w:rFonts w:hint="eastAsia" w:ascii="Times New Roman" w:hAnsi="Times New Roman"/>
          <w:color w:val="auto"/>
          <w:szCs w:val="21"/>
          <w:highlight w:val="none"/>
          <w:lang w:val="en-US" w:eastAsia="zh-CN"/>
        </w:rPr>
        <w:t>可</w:t>
      </w:r>
      <w:r>
        <w:rPr>
          <w:rFonts w:hint="eastAsia" w:ascii="Times New Roman" w:hAnsi="Times New Roman"/>
          <w:color w:val="auto"/>
          <w:szCs w:val="21"/>
          <w:highlight w:val="none"/>
        </w:rPr>
        <w:t>在其出具的《货物运输单》（详见附件二）中载明双方约定的具体附加服务事项及费用金额或收费标准。</w:t>
      </w:r>
    </w:p>
    <w:p>
      <w:pPr>
        <w:numPr>
          <w:ilvl w:val="0"/>
          <w:numId w:val="1"/>
        </w:numPr>
        <w:spacing w:before="156" w:beforeLines="50" w:after="156" w:afterLines="50" w:line="276" w:lineRule="auto"/>
        <w:rPr>
          <w:rFonts w:hint="default" w:ascii="Times New Roman" w:hAnsi="Times New Roman" w:eastAsia="宋体"/>
          <w:b/>
          <w:bCs/>
          <w:color w:val="auto"/>
          <w:szCs w:val="21"/>
          <w:highlight w:val="none"/>
          <w:lang w:val="en-US" w:eastAsia="zh-CN" w:bidi="th-TH"/>
        </w:rPr>
      </w:pPr>
      <w:r>
        <w:rPr>
          <w:rFonts w:ascii="Times New Roman" w:hAnsi="Times New Roman"/>
          <w:b/>
          <w:color w:val="auto"/>
          <w:szCs w:val="21"/>
          <w:highlight w:val="none"/>
        </w:rPr>
        <w:t>运输</w:t>
      </w:r>
      <w:r>
        <w:rPr>
          <w:rFonts w:hint="eastAsia" w:ascii="Times New Roman" w:hAnsi="Times New Roman"/>
          <w:b/>
          <w:color w:val="auto"/>
          <w:szCs w:val="21"/>
          <w:highlight w:val="none"/>
          <w:lang w:val="en-US" w:eastAsia="zh-CN"/>
        </w:rPr>
        <w:t>要求和</w:t>
      </w:r>
      <w:r>
        <w:rPr>
          <w:rFonts w:ascii="Times New Roman" w:hAnsi="Times New Roman"/>
          <w:b/>
          <w:bCs/>
          <w:color w:val="auto"/>
          <w:szCs w:val="21"/>
          <w:highlight w:val="none"/>
          <w:lang w:bidi="th-TH"/>
        </w:rPr>
        <w:t>流程</w:t>
      </w:r>
    </w:p>
    <w:p>
      <w:pPr>
        <w:widowControl/>
        <w:spacing w:before="156" w:beforeLines="50" w:after="156" w:afterLines="50" w:line="276" w:lineRule="auto"/>
        <w:ind w:firstLine="422" w:firstLineChars="200"/>
        <w:jc w:val="left"/>
        <w:rPr>
          <w:rFonts w:hint="eastAsia" w:ascii="Times New Roman" w:hAnsi="Times New Roman"/>
          <w:color w:val="auto"/>
          <w:szCs w:val="21"/>
          <w:highlight w:val="none"/>
          <w:lang w:val="en-US" w:eastAsia="zh-CN"/>
        </w:rPr>
      </w:pPr>
      <w:r>
        <w:rPr>
          <w:rFonts w:hint="eastAsia" w:ascii="Times New Roman" w:hAnsi="Times New Roman"/>
          <w:b/>
          <w:bCs/>
          <w:color w:val="auto"/>
          <w:szCs w:val="21"/>
          <w:highlight w:val="none"/>
          <w:lang w:val="en-US" w:eastAsia="zh-CN" w:bidi="th-TH"/>
        </w:rPr>
        <w:t xml:space="preserve">   </w:t>
      </w:r>
      <w:r>
        <w:rPr>
          <w:rFonts w:hint="eastAsia" w:ascii="Times New Roman" w:hAnsi="Times New Roman"/>
          <w:color w:val="auto"/>
          <w:szCs w:val="21"/>
          <w:highlight w:val="none"/>
          <w:lang w:val="en-US" w:eastAsia="zh-CN"/>
        </w:rPr>
        <w:t xml:space="preserve">2.1运输要求 </w:t>
      </w:r>
    </w:p>
    <w:p>
      <w:pPr>
        <w:widowControl/>
        <w:spacing w:before="156" w:beforeLines="50" w:after="156" w:afterLines="50" w:line="276" w:lineRule="auto"/>
        <w:ind w:firstLine="420" w:firstLineChars="200"/>
        <w:jc w:val="left"/>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甲方因运输需求多样，需乙方提供订制化服务产品，则乙方需按照其运输服务能力以及甲方需求给出运输服务方案。甲方常见运输需求有以下：</w:t>
      </w:r>
    </w:p>
    <w:p>
      <w:pPr>
        <w:widowControl/>
        <w:spacing w:before="156" w:beforeLines="50" w:after="156" w:afterLines="50" w:line="276" w:lineRule="auto"/>
        <w:ind w:firstLine="420" w:firstLineChars="200"/>
        <w:jc w:val="left"/>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sym w:font="Wingdings 2" w:char="00A3"/>
      </w:r>
      <w:r>
        <w:rPr>
          <w:rFonts w:hint="eastAsia" w:ascii="Times New Roman" w:hAnsi="Times New Roman"/>
          <w:color w:val="auto"/>
          <w:szCs w:val="21"/>
          <w:highlight w:val="none"/>
          <w:lang w:val="en-US" w:eastAsia="zh-CN"/>
        </w:rPr>
        <w:t xml:space="preserve"> 仓配一体服务</w:t>
      </w:r>
    </w:p>
    <w:p>
      <w:pPr>
        <w:widowControl/>
        <w:spacing w:before="156" w:beforeLines="50" w:after="156" w:afterLines="50" w:line="276" w:lineRule="auto"/>
        <w:ind w:firstLine="420" w:firstLineChars="200"/>
        <w:jc w:val="left"/>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sym w:font="Wingdings 2" w:char="00A3"/>
      </w:r>
      <w:r>
        <w:rPr>
          <w:rFonts w:hint="eastAsia" w:ascii="Times New Roman" w:hAnsi="Times New Roman"/>
          <w:color w:val="auto"/>
          <w:szCs w:val="21"/>
          <w:highlight w:val="none"/>
          <w:lang w:val="en-US" w:eastAsia="zh-CN"/>
        </w:rPr>
        <w:t xml:space="preserve"> 城市配送服务</w:t>
      </w:r>
    </w:p>
    <w:p>
      <w:pPr>
        <w:widowControl/>
        <w:spacing w:before="156" w:beforeLines="50" w:after="156" w:afterLines="50" w:line="276" w:lineRule="auto"/>
        <w:ind w:firstLine="420" w:firstLineChars="200"/>
        <w:jc w:val="left"/>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sym w:font="Wingdings 2" w:char="00A3"/>
      </w:r>
      <w:r>
        <w:rPr>
          <w:rFonts w:hint="eastAsia" w:ascii="Times New Roman" w:hAnsi="Times New Roman"/>
          <w:color w:val="auto"/>
          <w:szCs w:val="21"/>
          <w:highlight w:val="none"/>
          <w:lang w:val="en-US" w:eastAsia="zh-CN"/>
        </w:rPr>
        <w:t xml:space="preserve"> 专车配送服务</w:t>
      </w:r>
    </w:p>
    <w:p>
      <w:pPr>
        <w:widowControl/>
        <w:spacing w:before="156" w:beforeLines="50" w:after="156" w:afterLines="50" w:line="276" w:lineRule="auto"/>
        <w:ind w:firstLine="420" w:firstLineChars="200"/>
        <w:jc w:val="left"/>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sym w:font="Wingdings 2" w:char="00A3"/>
      </w:r>
      <w:r>
        <w:rPr>
          <w:rFonts w:hint="eastAsia" w:ascii="Times New Roman" w:hAnsi="Times New Roman"/>
          <w:color w:val="auto"/>
          <w:szCs w:val="21"/>
          <w:highlight w:val="none"/>
          <w:lang w:val="en-US" w:eastAsia="zh-CN"/>
        </w:rPr>
        <w:t xml:space="preserve"> 零担运输服务</w:t>
      </w:r>
    </w:p>
    <w:p>
      <w:pPr>
        <w:widowControl/>
        <w:spacing w:before="156" w:beforeLines="50" w:after="156" w:afterLines="50" w:line="276" w:lineRule="auto"/>
        <w:ind w:firstLine="420" w:firstLineChars="200"/>
        <w:jc w:val="left"/>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sym w:font="Wingdings 2" w:char="00A3"/>
      </w:r>
      <w:r>
        <w:rPr>
          <w:rFonts w:hint="eastAsia" w:ascii="Times New Roman" w:hAnsi="Times New Roman"/>
          <w:color w:val="auto"/>
          <w:szCs w:val="21"/>
          <w:highlight w:val="none"/>
          <w:lang w:val="en-US" w:eastAsia="zh-CN"/>
        </w:rPr>
        <w:t xml:space="preserve"> 干线运输服务</w:t>
      </w:r>
    </w:p>
    <w:p>
      <w:pPr>
        <w:widowControl/>
        <w:spacing w:before="156" w:beforeLines="50" w:after="156" w:afterLines="50" w:line="276"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2.</w:t>
      </w:r>
      <w:r>
        <w:rPr>
          <w:rFonts w:hint="eastAsia" w:ascii="Times New Roman" w:hAnsi="Times New Roman"/>
          <w:color w:val="auto"/>
          <w:szCs w:val="21"/>
          <w:highlight w:val="none"/>
          <w:lang w:val="en-US" w:eastAsia="zh-CN"/>
        </w:rPr>
        <w:t>2</w:t>
      </w:r>
      <w:r>
        <w:rPr>
          <w:rFonts w:ascii="Times New Roman" w:hAnsi="Times New Roman"/>
          <w:color w:val="auto"/>
          <w:szCs w:val="21"/>
          <w:highlight w:val="none"/>
        </w:rPr>
        <w:t>订单下达及确认</w:t>
      </w:r>
    </w:p>
    <w:p>
      <w:pPr>
        <w:widowControl/>
        <w:spacing w:before="156" w:beforeLines="50" w:after="156" w:afterLines="50" w:line="276" w:lineRule="auto"/>
        <w:ind w:firstLine="420" w:firstLineChars="200"/>
        <w:jc w:val="left"/>
        <w:rPr>
          <w:rFonts w:ascii="Times New Roman" w:hAnsi="Times New Roman"/>
          <w:color w:val="auto"/>
          <w:kern w:val="10"/>
          <w:szCs w:val="21"/>
          <w:highlight w:val="none"/>
        </w:rPr>
      </w:pPr>
      <w:r>
        <w:rPr>
          <w:rFonts w:ascii="Times New Roman" w:hAnsi="Times New Roman"/>
          <w:color w:val="auto"/>
          <w:szCs w:val="21"/>
          <w:highlight w:val="none"/>
        </w:rPr>
        <w:t>每次运输前，甲方指定联系人以</w:t>
      </w:r>
      <w:r>
        <w:rPr>
          <w:rFonts w:hint="eastAsia" w:ascii="Times New Roman" w:hAnsi="Times New Roman"/>
          <w:color w:val="auto"/>
          <w:szCs w:val="21"/>
          <w:highlight w:val="none"/>
          <w:lang w:val="en-US" w:eastAsia="zh-CN"/>
        </w:rPr>
        <w:t>甲方货主系统下单</w:t>
      </w:r>
      <w:r>
        <w:rPr>
          <w:rFonts w:ascii="Times New Roman" w:hAnsi="Times New Roman"/>
          <w:color w:val="auto"/>
          <w:szCs w:val="21"/>
          <w:highlight w:val="none"/>
        </w:rPr>
        <w:t>方式</w:t>
      </w: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lang w:val="en-US" w:eastAsia="zh-CN"/>
        </w:rPr>
        <w:t>或邮件形式</w:t>
      </w:r>
      <w:r>
        <w:rPr>
          <w:rFonts w:ascii="Times New Roman" w:hAnsi="Times New Roman"/>
          <w:color w:val="auto"/>
          <w:szCs w:val="21"/>
          <w:highlight w:val="none"/>
        </w:rPr>
        <w:t>向乙方发送</w:t>
      </w:r>
      <w:r>
        <w:rPr>
          <w:rFonts w:hint="eastAsia" w:ascii="Times New Roman" w:hAnsi="Times New Roman"/>
          <w:color w:val="auto"/>
          <w:szCs w:val="21"/>
          <w:highlight w:val="none"/>
        </w:rPr>
        <w:t>运输</w:t>
      </w:r>
      <w:r>
        <w:rPr>
          <w:rFonts w:ascii="Times New Roman" w:hAnsi="Times New Roman"/>
          <w:color w:val="auto"/>
          <w:szCs w:val="21"/>
          <w:highlight w:val="none"/>
        </w:rPr>
        <w:t>订单。</w:t>
      </w:r>
      <w:r>
        <w:rPr>
          <w:rFonts w:hint="eastAsia" w:ascii="Times New Roman" w:hAnsi="Times New Roman"/>
          <w:color w:val="auto"/>
          <w:szCs w:val="21"/>
          <w:highlight w:val="none"/>
        </w:rPr>
        <w:t>甲方</w:t>
      </w:r>
      <w:r>
        <w:rPr>
          <w:rFonts w:ascii="Times New Roman" w:hAnsi="Times New Roman"/>
          <w:color w:val="auto"/>
          <w:kern w:val="10"/>
          <w:szCs w:val="21"/>
          <w:highlight w:val="none"/>
        </w:rPr>
        <w:t>下单时需准确写明运输货物的名称、规格、重量、数量、运输温度、收货人名称、联系方式、收货地点、起运时间或到达时间等</w:t>
      </w:r>
      <w:r>
        <w:rPr>
          <w:rFonts w:hint="eastAsia" w:ascii="Times New Roman" w:hAnsi="Times New Roman"/>
          <w:color w:val="auto"/>
          <w:kern w:val="10"/>
          <w:szCs w:val="21"/>
          <w:highlight w:val="none"/>
        </w:rPr>
        <w:t>详细信息</w:t>
      </w:r>
      <w:r>
        <w:rPr>
          <w:rFonts w:ascii="Times New Roman" w:hAnsi="Times New Roman"/>
          <w:color w:val="auto"/>
          <w:kern w:val="10"/>
          <w:szCs w:val="21"/>
          <w:highlight w:val="none"/>
        </w:rPr>
        <w:t>。</w:t>
      </w:r>
      <w:r>
        <w:rPr>
          <w:rFonts w:ascii="Times New Roman" w:hAnsi="Times New Roman"/>
          <w:color w:val="auto"/>
          <w:szCs w:val="21"/>
          <w:highlight w:val="none"/>
        </w:rPr>
        <w:t>乙方收到订单后，应通过</w:t>
      </w:r>
      <w:r>
        <w:rPr>
          <w:rFonts w:hint="eastAsia" w:ascii="Times New Roman" w:hAnsi="Times New Roman"/>
          <w:color w:val="auto"/>
          <w:szCs w:val="21"/>
          <w:highlight w:val="none"/>
          <w:lang w:val="en-US" w:eastAsia="zh-CN"/>
        </w:rPr>
        <w:t>系统运单截图或</w:t>
      </w:r>
      <w:r>
        <w:rPr>
          <w:rFonts w:ascii="Times New Roman" w:hAnsi="Times New Roman"/>
          <w:color w:val="auto"/>
          <w:szCs w:val="21"/>
          <w:highlight w:val="none"/>
        </w:rPr>
        <w:t>邮件向甲方确认当批次订单内容（确认内容包括该批次货物的种类、毛重、数量等全部信息）。</w:t>
      </w:r>
    </w:p>
    <w:p>
      <w:pPr>
        <w:widowControl/>
        <w:spacing w:before="156" w:beforeLines="50" w:after="156" w:afterLines="50" w:line="276"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2.</w:t>
      </w:r>
      <w:r>
        <w:rPr>
          <w:rFonts w:hint="eastAsia" w:ascii="Times New Roman" w:hAnsi="Times New Roman"/>
          <w:color w:val="auto"/>
          <w:szCs w:val="21"/>
          <w:highlight w:val="none"/>
          <w:lang w:val="en-US" w:eastAsia="zh-CN"/>
        </w:rPr>
        <w:t>3</w:t>
      </w:r>
      <w:r>
        <w:rPr>
          <w:rFonts w:ascii="Times New Roman" w:hAnsi="Times New Roman"/>
          <w:color w:val="auto"/>
          <w:szCs w:val="21"/>
          <w:highlight w:val="none"/>
        </w:rPr>
        <w:t>货物</w:t>
      </w:r>
      <w:r>
        <w:rPr>
          <w:rFonts w:hint="eastAsia" w:ascii="Times New Roman" w:hAnsi="Times New Roman"/>
          <w:color w:val="auto"/>
          <w:szCs w:val="21"/>
          <w:highlight w:val="none"/>
        </w:rPr>
        <w:t>装载及</w:t>
      </w:r>
      <w:r>
        <w:rPr>
          <w:rFonts w:ascii="Times New Roman" w:hAnsi="Times New Roman"/>
          <w:color w:val="auto"/>
          <w:szCs w:val="21"/>
          <w:highlight w:val="none"/>
        </w:rPr>
        <w:t>发运</w:t>
      </w:r>
    </w:p>
    <w:p>
      <w:pPr>
        <w:widowControl/>
        <w:spacing w:before="156" w:beforeLines="50" w:after="156" w:afterLines="50" w:line="276"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2.</w:t>
      </w:r>
      <w:r>
        <w:rPr>
          <w:rFonts w:hint="eastAsia" w:ascii="Times New Roman" w:hAnsi="Times New Roman"/>
          <w:color w:val="auto"/>
          <w:szCs w:val="21"/>
          <w:highlight w:val="none"/>
          <w:lang w:val="en-US" w:eastAsia="zh-CN"/>
        </w:rPr>
        <w:t>3</w:t>
      </w:r>
      <w:r>
        <w:rPr>
          <w:rFonts w:ascii="Times New Roman" w:hAnsi="Times New Roman"/>
          <w:color w:val="auto"/>
          <w:szCs w:val="21"/>
          <w:highlight w:val="none"/>
        </w:rPr>
        <w:t>.1货物运输</w:t>
      </w:r>
      <w:r>
        <w:rPr>
          <w:rFonts w:hint="eastAsia" w:ascii="Times New Roman" w:hAnsi="Times New Roman"/>
          <w:color w:val="auto"/>
          <w:szCs w:val="21"/>
          <w:highlight w:val="none"/>
        </w:rPr>
        <w:t>订</w:t>
      </w:r>
      <w:r>
        <w:rPr>
          <w:rFonts w:ascii="Times New Roman" w:hAnsi="Times New Roman"/>
          <w:color w:val="auto"/>
          <w:szCs w:val="21"/>
          <w:highlight w:val="none"/>
        </w:rPr>
        <w:t>单作为货物运输的</w:t>
      </w:r>
      <w:r>
        <w:rPr>
          <w:rFonts w:hint="eastAsia" w:ascii="Times New Roman" w:hAnsi="Times New Roman"/>
          <w:color w:val="auto"/>
          <w:szCs w:val="21"/>
          <w:highlight w:val="none"/>
        </w:rPr>
        <w:t>凭据</w:t>
      </w:r>
      <w:r>
        <w:rPr>
          <w:rFonts w:ascii="Times New Roman" w:hAnsi="Times New Roman"/>
          <w:color w:val="auto"/>
          <w:szCs w:val="21"/>
          <w:highlight w:val="none"/>
        </w:rPr>
        <w:t>，乙方</w:t>
      </w:r>
      <w:r>
        <w:rPr>
          <w:rFonts w:hint="eastAsia" w:ascii="Times New Roman" w:hAnsi="Times New Roman"/>
          <w:color w:val="auto"/>
          <w:szCs w:val="21"/>
          <w:highlight w:val="none"/>
          <w:lang w:val="en-US" w:eastAsia="zh-CN"/>
        </w:rPr>
        <w:t>根据</w:t>
      </w:r>
      <w:r>
        <w:rPr>
          <w:rFonts w:ascii="Times New Roman" w:hAnsi="Times New Roman"/>
          <w:color w:val="auto"/>
          <w:szCs w:val="21"/>
          <w:highlight w:val="none"/>
        </w:rPr>
        <w:t>订单</w:t>
      </w:r>
      <w:r>
        <w:rPr>
          <w:rFonts w:hint="eastAsia" w:ascii="Times New Roman" w:hAnsi="Times New Roman"/>
          <w:color w:val="auto"/>
          <w:szCs w:val="21"/>
          <w:highlight w:val="none"/>
          <w:lang w:val="en-US" w:eastAsia="zh-CN"/>
        </w:rPr>
        <w:t>要求</w:t>
      </w:r>
      <w:r>
        <w:rPr>
          <w:rFonts w:hint="eastAsia" w:ascii="Times New Roman" w:hAnsi="Times New Roman"/>
          <w:color w:val="auto"/>
          <w:szCs w:val="21"/>
          <w:highlight w:val="none"/>
        </w:rPr>
        <w:t>按时到达</w:t>
      </w:r>
      <w:r>
        <w:rPr>
          <w:rFonts w:ascii="Times New Roman" w:hAnsi="Times New Roman"/>
          <w:color w:val="auto"/>
          <w:szCs w:val="21"/>
          <w:highlight w:val="none"/>
        </w:rPr>
        <w:t>甲方指定</w:t>
      </w:r>
      <w:r>
        <w:rPr>
          <w:rFonts w:hint="eastAsia" w:ascii="Times New Roman" w:hAnsi="Times New Roman"/>
          <w:color w:val="auto"/>
          <w:szCs w:val="21"/>
          <w:highlight w:val="none"/>
        </w:rPr>
        <w:t>提货地点（即起运地点）进行</w:t>
      </w:r>
      <w:r>
        <w:rPr>
          <w:rFonts w:ascii="Times New Roman" w:hAnsi="Times New Roman"/>
          <w:color w:val="auto"/>
          <w:szCs w:val="21"/>
          <w:highlight w:val="none"/>
        </w:rPr>
        <w:t>货物装载。装载货物之前，乙方需要对货物的温度、包装、数量进行检查和清点，乙方发现数量、温度</w:t>
      </w:r>
      <w:r>
        <w:rPr>
          <w:rFonts w:hint="eastAsia" w:ascii="Times New Roman" w:hAnsi="Times New Roman"/>
          <w:color w:val="auto"/>
          <w:szCs w:val="21"/>
          <w:highlight w:val="none"/>
        </w:rPr>
        <w:t>等与订单</w:t>
      </w:r>
      <w:r>
        <w:rPr>
          <w:rFonts w:ascii="Times New Roman" w:hAnsi="Times New Roman"/>
          <w:color w:val="auto"/>
          <w:szCs w:val="21"/>
          <w:highlight w:val="none"/>
        </w:rPr>
        <w:t>不符，应当场提出并与甲方核对，甲方拒不核对的，乙方有权拒收。</w:t>
      </w:r>
    </w:p>
    <w:p>
      <w:pPr>
        <w:widowControl/>
        <w:spacing w:before="156" w:beforeLines="50" w:after="156" w:afterLines="50" w:line="276"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2.</w:t>
      </w:r>
      <w:r>
        <w:rPr>
          <w:rFonts w:hint="eastAsia" w:ascii="Times New Roman" w:hAnsi="Times New Roman"/>
          <w:color w:val="auto"/>
          <w:szCs w:val="21"/>
          <w:highlight w:val="none"/>
          <w:lang w:val="en-US" w:eastAsia="zh-CN"/>
        </w:rPr>
        <w:t>3</w:t>
      </w:r>
      <w:r>
        <w:rPr>
          <w:rFonts w:ascii="Times New Roman" w:hAnsi="Times New Roman"/>
          <w:color w:val="auto"/>
          <w:szCs w:val="21"/>
          <w:highlight w:val="none"/>
        </w:rPr>
        <w:t xml:space="preserve">.2 </w:t>
      </w:r>
      <w:r>
        <w:rPr>
          <w:rFonts w:hint="eastAsia" w:ascii="Times New Roman" w:hAnsi="Times New Roman"/>
          <w:color w:val="auto"/>
          <w:szCs w:val="21"/>
          <w:highlight w:val="none"/>
        </w:rPr>
        <w:t>甲乙双方协商确定由谁负责对运输货物进行密封、装箱等包装事宜，乙方对包装完毕的货物的件数或箱数进行整数核对。</w:t>
      </w:r>
    </w:p>
    <w:p>
      <w:pPr>
        <w:widowControl/>
        <w:spacing w:before="156" w:beforeLines="50" w:after="156" w:afterLines="50" w:line="276"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2</w:t>
      </w:r>
      <w:r>
        <w:rPr>
          <w:rFonts w:hint="eastAsia" w:ascii="Times New Roman" w:hAnsi="Times New Roman"/>
          <w:color w:val="auto"/>
          <w:szCs w:val="21"/>
          <w:highlight w:val="none"/>
          <w:lang w:val="en-US" w:eastAsia="zh-CN"/>
        </w:rPr>
        <w:t>.3</w:t>
      </w:r>
      <w:r>
        <w:rPr>
          <w:rFonts w:ascii="Times New Roman" w:hAnsi="Times New Roman"/>
          <w:color w:val="auto"/>
          <w:szCs w:val="21"/>
          <w:highlight w:val="none"/>
        </w:rPr>
        <w:t>.3</w:t>
      </w:r>
      <w:r>
        <w:rPr>
          <w:rFonts w:hint="eastAsia" w:ascii="Times New Roman" w:hAnsi="Times New Roman"/>
          <w:color w:val="auto"/>
          <w:szCs w:val="21"/>
          <w:highlight w:val="none"/>
          <w:lang w:val="en-US" w:eastAsia="zh-CN"/>
        </w:rPr>
        <w:t xml:space="preserve"> </w:t>
      </w:r>
      <w:r>
        <w:rPr>
          <w:rFonts w:hint="eastAsia" w:ascii="Times New Roman" w:hAnsi="Times New Roman"/>
          <w:color w:val="auto"/>
          <w:szCs w:val="21"/>
          <w:highlight w:val="none"/>
        </w:rPr>
        <w:t>乙方</w:t>
      </w:r>
      <w:r>
        <w:rPr>
          <w:rFonts w:hint="eastAsia" w:ascii="Times New Roman" w:hAnsi="Times New Roman"/>
          <w:color w:val="auto"/>
          <w:szCs w:val="21"/>
          <w:highlight w:val="none"/>
          <w:lang w:val="en-US" w:eastAsia="zh-CN"/>
        </w:rPr>
        <w:t>应</w:t>
      </w:r>
      <w:r>
        <w:rPr>
          <w:rFonts w:hint="eastAsia" w:ascii="Times New Roman" w:hAnsi="Times New Roman"/>
          <w:color w:val="auto"/>
          <w:szCs w:val="21"/>
          <w:highlight w:val="none"/>
        </w:rPr>
        <w:t>向</w:t>
      </w:r>
      <w:r>
        <w:rPr>
          <w:rFonts w:hint="eastAsia" w:ascii="Times New Roman" w:hAnsi="Times New Roman"/>
          <w:color w:val="auto"/>
          <w:szCs w:val="21"/>
          <w:highlight w:val="none"/>
          <w:lang w:val="en-US" w:eastAsia="zh-CN"/>
        </w:rPr>
        <w:t>甲方及</w:t>
      </w:r>
      <w:r>
        <w:rPr>
          <w:rFonts w:hint="eastAsia" w:ascii="Times New Roman" w:hAnsi="Times New Roman"/>
          <w:color w:val="auto"/>
          <w:szCs w:val="21"/>
          <w:highlight w:val="none"/>
        </w:rPr>
        <w:t>发货人提供当次货物运输司机的联系方式（至少应包含姓名和联系电话）。</w:t>
      </w:r>
    </w:p>
    <w:p>
      <w:pPr>
        <w:widowControl/>
        <w:spacing w:before="156" w:beforeLines="50" w:after="156" w:afterLines="50" w:line="276" w:lineRule="auto"/>
        <w:ind w:firstLine="420" w:firstLineChars="200"/>
        <w:jc w:val="left"/>
        <w:rPr>
          <w:rFonts w:hint="eastAsia" w:ascii="Times New Roman" w:hAnsi="Times New Roman"/>
          <w:color w:val="auto"/>
          <w:szCs w:val="21"/>
          <w:highlight w:val="none"/>
        </w:rPr>
      </w:pPr>
      <w:r>
        <w:rPr>
          <w:rFonts w:hint="eastAsia" w:ascii="Times New Roman" w:hAnsi="Times New Roman"/>
          <w:color w:val="auto"/>
          <w:szCs w:val="21"/>
          <w:highlight w:val="none"/>
        </w:rPr>
        <w:t>2</w:t>
      </w:r>
      <w:r>
        <w:rPr>
          <w:rFonts w:ascii="Times New Roman" w:hAnsi="Times New Roman"/>
          <w:color w:val="auto"/>
          <w:szCs w:val="21"/>
          <w:highlight w:val="none"/>
        </w:rPr>
        <w:t>.</w:t>
      </w:r>
      <w:r>
        <w:rPr>
          <w:rFonts w:hint="eastAsia" w:ascii="Times New Roman" w:hAnsi="Times New Roman"/>
          <w:color w:val="auto"/>
          <w:szCs w:val="21"/>
          <w:highlight w:val="none"/>
          <w:lang w:val="en-US" w:eastAsia="zh-CN"/>
        </w:rPr>
        <w:t>3</w:t>
      </w:r>
      <w:r>
        <w:rPr>
          <w:rFonts w:ascii="Times New Roman" w:hAnsi="Times New Roman"/>
          <w:color w:val="auto"/>
          <w:szCs w:val="21"/>
          <w:highlight w:val="none"/>
        </w:rPr>
        <w:t>.</w:t>
      </w:r>
      <w:r>
        <w:rPr>
          <w:rFonts w:hint="eastAsia" w:ascii="Times New Roman" w:hAnsi="Times New Roman"/>
          <w:color w:val="auto"/>
          <w:szCs w:val="21"/>
          <w:highlight w:val="none"/>
          <w:lang w:val="en-US" w:eastAsia="zh-CN"/>
        </w:rPr>
        <w:t>4</w:t>
      </w:r>
      <w:r>
        <w:rPr>
          <w:rFonts w:ascii="Times New Roman" w:hAnsi="Times New Roman"/>
          <w:color w:val="auto"/>
          <w:szCs w:val="21"/>
          <w:highlight w:val="none"/>
        </w:rPr>
        <w:t xml:space="preserve"> </w:t>
      </w:r>
      <w:r>
        <w:rPr>
          <w:rFonts w:hint="eastAsia" w:ascii="Times New Roman" w:hAnsi="Times New Roman"/>
          <w:color w:val="auto"/>
          <w:szCs w:val="21"/>
          <w:highlight w:val="none"/>
        </w:rPr>
        <w:t>乙方在发货前向发货人出具《货物运输单》（包含发货联和收货联两部分），由发货人在《货物运输单》发货联签字确认。</w:t>
      </w:r>
    </w:p>
    <w:p>
      <w:pPr>
        <w:widowControl/>
        <w:spacing w:before="156" w:beforeLines="50" w:after="156" w:afterLines="50" w:line="276" w:lineRule="auto"/>
        <w:ind w:firstLine="420" w:firstLineChars="200"/>
        <w:jc w:val="left"/>
        <w:rPr>
          <w:rFonts w:hint="eastAsia" w:ascii="Times New Roman" w:hAnsi="Times New Roman"/>
          <w:color w:val="auto"/>
          <w:szCs w:val="21"/>
          <w:highlight w:val="none"/>
        </w:rPr>
      </w:pPr>
      <w:r>
        <w:rPr>
          <w:rFonts w:ascii="Times New Roman" w:hAnsi="Times New Roman"/>
          <w:color w:val="auto"/>
          <w:szCs w:val="21"/>
          <w:highlight w:val="none"/>
        </w:rPr>
        <w:t>2.</w:t>
      </w:r>
      <w:r>
        <w:rPr>
          <w:rFonts w:hint="eastAsia" w:ascii="Times New Roman" w:hAnsi="Times New Roman"/>
          <w:color w:val="auto"/>
          <w:szCs w:val="21"/>
          <w:highlight w:val="none"/>
          <w:lang w:val="en-US" w:eastAsia="zh-CN"/>
        </w:rPr>
        <w:t>3</w:t>
      </w:r>
      <w:r>
        <w:rPr>
          <w:rFonts w:ascii="Times New Roman" w:hAnsi="Times New Roman"/>
          <w:color w:val="auto"/>
          <w:szCs w:val="21"/>
          <w:highlight w:val="none"/>
        </w:rPr>
        <w:t>.</w:t>
      </w:r>
      <w:r>
        <w:rPr>
          <w:rFonts w:hint="eastAsia" w:ascii="Times New Roman" w:hAnsi="Times New Roman"/>
          <w:color w:val="auto"/>
          <w:szCs w:val="21"/>
          <w:highlight w:val="none"/>
          <w:lang w:val="en-US" w:eastAsia="zh-CN"/>
        </w:rPr>
        <w:t>5</w:t>
      </w:r>
      <w:r>
        <w:rPr>
          <w:rFonts w:ascii="Times New Roman" w:hAnsi="Times New Roman"/>
          <w:color w:val="auto"/>
          <w:szCs w:val="21"/>
          <w:highlight w:val="none"/>
        </w:rPr>
        <w:t xml:space="preserve"> </w:t>
      </w:r>
      <w:r>
        <w:rPr>
          <w:rFonts w:hint="eastAsia" w:ascii="Times New Roman" w:hAnsi="Times New Roman"/>
          <w:color w:val="auto"/>
          <w:szCs w:val="21"/>
          <w:highlight w:val="none"/>
        </w:rPr>
        <w:t>乙方应保证车辆资质证件齐全，车辆及制冷设备检验合格。乙方在运输过程中应严格记录真实的实时温度数据，甲方有权全程实时监控乙方承运车辆在运输过程中的实时定位及温度数据，乙方对运输过程中司机的操作行为，温控数据等真实性负责。如因乙方的操作或提供的数据等有误或者不真实导致的一切后果由乙方负责。</w:t>
      </w:r>
    </w:p>
    <w:p>
      <w:pPr>
        <w:widowControl/>
        <w:spacing w:before="156" w:beforeLines="50" w:after="156" w:afterLines="50" w:line="276" w:lineRule="auto"/>
        <w:ind w:firstLine="420" w:firstLineChars="200"/>
        <w:jc w:val="left"/>
        <w:rPr>
          <w:rFonts w:ascii="Times New Roman" w:hAnsi="Times New Roman"/>
          <w:color w:val="auto"/>
          <w:kern w:val="10"/>
          <w:szCs w:val="21"/>
          <w:highlight w:val="none"/>
        </w:rPr>
      </w:pPr>
      <w:r>
        <w:rPr>
          <w:rFonts w:ascii="Times New Roman" w:hAnsi="Times New Roman"/>
          <w:color w:val="auto"/>
          <w:kern w:val="10"/>
          <w:szCs w:val="21"/>
          <w:highlight w:val="none"/>
        </w:rPr>
        <w:t>2.</w:t>
      </w:r>
      <w:r>
        <w:rPr>
          <w:rFonts w:hint="eastAsia" w:ascii="Times New Roman" w:hAnsi="Times New Roman"/>
          <w:color w:val="auto"/>
          <w:kern w:val="10"/>
          <w:szCs w:val="21"/>
          <w:highlight w:val="none"/>
          <w:lang w:val="en-US" w:eastAsia="zh-CN"/>
        </w:rPr>
        <w:t>4</w:t>
      </w:r>
      <w:r>
        <w:rPr>
          <w:rFonts w:ascii="Times New Roman" w:hAnsi="Times New Roman"/>
          <w:color w:val="auto"/>
          <w:kern w:val="10"/>
          <w:szCs w:val="21"/>
          <w:highlight w:val="none"/>
        </w:rPr>
        <w:t xml:space="preserve"> 货物</w:t>
      </w:r>
      <w:r>
        <w:rPr>
          <w:rFonts w:ascii="Times New Roman" w:hAnsi="Times New Roman"/>
          <w:color w:val="auto"/>
          <w:szCs w:val="21"/>
          <w:highlight w:val="none"/>
        </w:rPr>
        <w:t>签收</w:t>
      </w:r>
    </w:p>
    <w:p>
      <w:pPr>
        <w:widowControl/>
        <w:spacing w:before="156" w:beforeLines="50" w:after="156" w:afterLines="50" w:line="276"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乙方将货物送达甲方指定</w:t>
      </w:r>
      <w:r>
        <w:rPr>
          <w:rFonts w:hint="eastAsia" w:ascii="Times New Roman" w:hAnsi="Times New Roman"/>
          <w:color w:val="auto"/>
          <w:szCs w:val="21"/>
          <w:highlight w:val="none"/>
        </w:rPr>
        <w:t>收货地点</w:t>
      </w:r>
      <w:r>
        <w:rPr>
          <w:rFonts w:ascii="Times New Roman" w:hAnsi="Times New Roman"/>
          <w:color w:val="auto"/>
          <w:szCs w:val="21"/>
          <w:highlight w:val="none"/>
        </w:rPr>
        <w:t>后，与甲方指定收货人共同</w:t>
      </w:r>
      <w:r>
        <w:rPr>
          <w:rFonts w:hint="eastAsia" w:ascii="Times New Roman" w:hAnsi="Times New Roman"/>
          <w:color w:val="auto"/>
          <w:szCs w:val="21"/>
          <w:highlight w:val="none"/>
        </w:rPr>
        <w:t>对货物件数或箱数、外包装、温度</w:t>
      </w:r>
      <w:r>
        <w:rPr>
          <w:rFonts w:ascii="Times New Roman" w:hAnsi="Times New Roman"/>
          <w:color w:val="auto"/>
          <w:szCs w:val="21"/>
          <w:highlight w:val="none"/>
        </w:rPr>
        <w:t>进行验收，验收完毕</w:t>
      </w:r>
      <w:r>
        <w:rPr>
          <w:rFonts w:hint="eastAsia" w:ascii="Times New Roman" w:hAnsi="Times New Roman"/>
          <w:color w:val="auto"/>
          <w:szCs w:val="21"/>
          <w:highlight w:val="none"/>
        </w:rPr>
        <w:t>由甲方收货人在甲方提供的送货单据上签字确认并签署《货物运输单》的收货联</w:t>
      </w:r>
      <w:r>
        <w:rPr>
          <w:rFonts w:ascii="Times New Roman" w:hAnsi="Times New Roman"/>
          <w:color w:val="auto"/>
          <w:szCs w:val="21"/>
          <w:highlight w:val="none"/>
        </w:rPr>
        <w:t>，视为乙方已</w:t>
      </w:r>
      <w:r>
        <w:rPr>
          <w:rFonts w:hint="eastAsia" w:ascii="Times New Roman" w:hAnsi="Times New Roman"/>
          <w:color w:val="auto"/>
          <w:szCs w:val="21"/>
          <w:highlight w:val="none"/>
        </w:rPr>
        <w:t>交付货物并</w:t>
      </w:r>
      <w:r>
        <w:rPr>
          <w:rFonts w:ascii="Times New Roman" w:hAnsi="Times New Roman"/>
          <w:color w:val="auto"/>
          <w:szCs w:val="21"/>
          <w:highlight w:val="none"/>
        </w:rPr>
        <w:t>履行完</w:t>
      </w:r>
      <w:r>
        <w:rPr>
          <w:rFonts w:hint="eastAsia" w:ascii="Times New Roman" w:hAnsi="Times New Roman"/>
          <w:color w:val="auto"/>
          <w:szCs w:val="21"/>
          <w:highlight w:val="none"/>
        </w:rPr>
        <w:t>毕当</w:t>
      </w:r>
      <w:r>
        <w:rPr>
          <w:rFonts w:ascii="Times New Roman" w:hAnsi="Times New Roman"/>
          <w:color w:val="auto"/>
          <w:szCs w:val="21"/>
          <w:highlight w:val="none"/>
        </w:rPr>
        <w:t>次</w:t>
      </w:r>
      <w:r>
        <w:rPr>
          <w:rFonts w:hint="eastAsia" w:ascii="Times New Roman" w:hAnsi="Times New Roman"/>
          <w:color w:val="auto"/>
          <w:szCs w:val="21"/>
          <w:highlight w:val="none"/>
        </w:rPr>
        <w:t>运输服务</w:t>
      </w:r>
      <w:r>
        <w:rPr>
          <w:rFonts w:ascii="Times New Roman" w:hAnsi="Times New Roman"/>
          <w:color w:val="auto"/>
          <w:szCs w:val="21"/>
          <w:highlight w:val="none"/>
        </w:rPr>
        <w:t>。乙方</w:t>
      </w:r>
      <w:r>
        <w:rPr>
          <w:rFonts w:hint="eastAsia" w:ascii="Times New Roman" w:hAnsi="Times New Roman"/>
          <w:color w:val="auto"/>
          <w:szCs w:val="21"/>
          <w:highlight w:val="none"/>
        </w:rPr>
        <w:t>需</w:t>
      </w:r>
      <w:r>
        <w:rPr>
          <w:rFonts w:ascii="Times New Roman" w:hAnsi="Times New Roman"/>
          <w:color w:val="auto"/>
          <w:szCs w:val="21"/>
          <w:highlight w:val="none"/>
        </w:rPr>
        <w:t>将收货人</w:t>
      </w:r>
      <w:r>
        <w:rPr>
          <w:rFonts w:hint="eastAsia" w:ascii="Times New Roman" w:hAnsi="Times New Roman"/>
          <w:color w:val="auto"/>
          <w:szCs w:val="21"/>
          <w:highlight w:val="none"/>
        </w:rPr>
        <w:t>签署的甲方送货单据</w:t>
      </w:r>
      <w:r>
        <w:rPr>
          <w:rFonts w:ascii="Times New Roman" w:hAnsi="Times New Roman"/>
          <w:color w:val="auto"/>
          <w:szCs w:val="21"/>
          <w:highlight w:val="none"/>
        </w:rPr>
        <w:t>及时</w:t>
      </w:r>
      <w:r>
        <w:rPr>
          <w:rFonts w:hint="eastAsia" w:ascii="Times New Roman" w:hAnsi="Times New Roman"/>
          <w:color w:val="auto"/>
          <w:szCs w:val="21"/>
          <w:highlight w:val="none"/>
        </w:rPr>
        <w:t>发送给甲方</w:t>
      </w:r>
      <w:r>
        <w:rPr>
          <w:rFonts w:ascii="Times New Roman" w:hAnsi="Times New Roman"/>
          <w:color w:val="auto"/>
          <w:szCs w:val="21"/>
          <w:highlight w:val="none"/>
        </w:rPr>
        <w:t>。</w:t>
      </w:r>
    </w:p>
    <w:p>
      <w:pPr>
        <w:widowControl/>
        <w:spacing w:before="156" w:beforeLines="50" w:after="156" w:afterLines="50" w:line="276" w:lineRule="auto"/>
        <w:ind w:firstLine="420" w:firstLineChars="200"/>
        <w:jc w:val="left"/>
        <w:rPr>
          <w:rFonts w:ascii="Times New Roman" w:hAnsi="Times New Roman"/>
          <w:color w:val="auto"/>
          <w:kern w:val="10"/>
          <w:szCs w:val="21"/>
          <w:highlight w:val="none"/>
        </w:rPr>
      </w:pPr>
      <w:r>
        <w:rPr>
          <w:rFonts w:ascii="Times New Roman" w:hAnsi="Times New Roman"/>
          <w:color w:val="auto"/>
          <w:kern w:val="10"/>
          <w:szCs w:val="21"/>
          <w:highlight w:val="none"/>
        </w:rPr>
        <w:t>2.</w:t>
      </w:r>
      <w:r>
        <w:rPr>
          <w:rFonts w:hint="eastAsia" w:ascii="Times New Roman" w:hAnsi="Times New Roman"/>
          <w:color w:val="auto"/>
          <w:kern w:val="10"/>
          <w:szCs w:val="21"/>
          <w:highlight w:val="none"/>
          <w:lang w:val="en-US" w:eastAsia="zh-CN"/>
        </w:rPr>
        <w:t>5</w:t>
      </w:r>
      <w:r>
        <w:rPr>
          <w:rFonts w:ascii="Times New Roman" w:hAnsi="Times New Roman"/>
          <w:color w:val="auto"/>
          <w:kern w:val="10"/>
          <w:szCs w:val="21"/>
          <w:highlight w:val="none"/>
        </w:rPr>
        <w:t xml:space="preserve"> </w:t>
      </w:r>
      <w:r>
        <w:rPr>
          <w:rFonts w:hint="eastAsia" w:ascii="Times New Roman" w:hAnsi="Times New Roman"/>
          <w:color w:val="auto"/>
          <w:kern w:val="10"/>
          <w:szCs w:val="21"/>
          <w:highlight w:val="none"/>
        </w:rPr>
        <w:t>运输信息</w:t>
      </w:r>
      <w:r>
        <w:rPr>
          <w:rFonts w:ascii="Times New Roman" w:hAnsi="Times New Roman"/>
          <w:color w:val="auto"/>
          <w:kern w:val="10"/>
          <w:szCs w:val="21"/>
          <w:highlight w:val="none"/>
        </w:rPr>
        <w:t>变更</w:t>
      </w:r>
    </w:p>
    <w:p>
      <w:pPr>
        <w:widowControl/>
        <w:spacing w:before="156" w:beforeLines="50" w:after="156" w:afterLines="50" w:line="276" w:lineRule="auto"/>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rPr>
        <w:t>货物起运前</w:t>
      </w:r>
      <w:r>
        <w:rPr>
          <w:rFonts w:hint="eastAsia" w:ascii="Times New Roman" w:hAnsi="Times New Roman"/>
          <w:color w:val="auto"/>
          <w:szCs w:val="21"/>
          <w:highlight w:val="none"/>
          <w:lang w:val="en-US" w:eastAsia="zh-CN"/>
        </w:rPr>
        <w:t>或运输途中</w:t>
      </w:r>
      <w:r>
        <w:rPr>
          <w:rFonts w:hint="eastAsia" w:ascii="Times New Roman" w:hAnsi="Times New Roman"/>
          <w:color w:val="auto"/>
          <w:szCs w:val="21"/>
          <w:highlight w:val="none"/>
        </w:rPr>
        <w:t>，</w:t>
      </w:r>
      <w:r>
        <w:rPr>
          <w:rFonts w:ascii="Times New Roman" w:hAnsi="Times New Roman"/>
          <w:color w:val="auto"/>
          <w:szCs w:val="21"/>
          <w:highlight w:val="none"/>
        </w:rPr>
        <w:t>如甲方临时增加或变更卸货点、收货人、配送时间等信息，</w:t>
      </w:r>
      <w:r>
        <w:rPr>
          <w:rFonts w:hint="eastAsia" w:ascii="Times New Roman" w:hAnsi="Times New Roman"/>
          <w:color w:val="auto"/>
          <w:szCs w:val="21"/>
          <w:highlight w:val="none"/>
          <w:lang w:val="en-US" w:eastAsia="zh-CN"/>
        </w:rPr>
        <w:t>由此增加费用由甲方承担</w:t>
      </w:r>
      <w:r>
        <w:rPr>
          <w:rFonts w:ascii="Times New Roman" w:hAnsi="Times New Roman"/>
          <w:color w:val="auto"/>
          <w:szCs w:val="21"/>
          <w:highlight w:val="none"/>
        </w:rPr>
        <w:t>。</w:t>
      </w:r>
    </w:p>
    <w:p>
      <w:pPr>
        <w:spacing w:before="156" w:beforeLines="50" w:after="156" w:afterLines="50" w:line="276" w:lineRule="auto"/>
        <w:rPr>
          <w:rFonts w:ascii="Times New Roman" w:hAnsi="Times New Roman"/>
          <w:b/>
          <w:color w:val="auto"/>
          <w:szCs w:val="21"/>
          <w:highlight w:val="none"/>
        </w:rPr>
      </w:pPr>
      <w:r>
        <w:rPr>
          <w:rFonts w:ascii="Times New Roman" w:hAnsi="Times New Roman"/>
          <w:b/>
          <w:color w:val="auto"/>
          <w:szCs w:val="21"/>
          <w:highlight w:val="none"/>
        </w:rPr>
        <w:t>三、甲方权利及义务</w:t>
      </w:r>
    </w:p>
    <w:p>
      <w:pPr>
        <w:widowControl/>
        <w:spacing w:before="156" w:beforeLines="50" w:after="156" w:afterLines="50" w:line="276"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3.1 甲方有权查询货物的派送及签收信息，并有权对乙方服务质量进行监督和考核。</w:t>
      </w:r>
    </w:p>
    <w:p>
      <w:pPr>
        <w:widowControl/>
        <w:spacing w:before="156" w:beforeLines="50" w:after="156" w:afterLines="50" w:line="276"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3.2 甲方在货物送达收货人之前，有权</w:t>
      </w:r>
      <w:r>
        <w:rPr>
          <w:rFonts w:hint="eastAsia" w:ascii="Times New Roman" w:hAnsi="Times New Roman"/>
          <w:color w:val="auto"/>
          <w:szCs w:val="21"/>
          <w:highlight w:val="none"/>
        </w:rPr>
        <w:t>按照本合同约定方式变更配送信息</w:t>
      </w:r>
      <w:r>
        <w:rPr>
          <w:rFonts w:ascii="Times New Roman" w:hAnsi="Times New Roman"/>
          <w:color w:val="auto"/>
          <w:szCs w:val="21"/>
          <w:highlight w:val="none"/>
        </w:rPr>
        <w:t>。</w:t>
      </w:r>
    </w:p>
    <w:p>
      <w:pPr>
        <w:widowControl/>
        <w:spacing w:before="156" w:beforeLines="50" w:after="156" w:afterLines="50" w:line="276" w:lineRule="auto"/>
        <w:ind w:firstLine="420" w:firstLineChars="200"/>
        <w:jc w:val="left"/>
        <w:rPr>
          <w:rFonts w:hint="eastAsia" w:ascii="Times New Roman" w:hAnsi="Times New Roman"/>
          <w:color w:val="auto"/>
          <w:szCs w:val="21"/>
          <w:highlight w:val="none"/>
        </w:rPr>
      </w:pPr>
      <w:r>
        <w:rPr>
          <w:rFonts w:ascii="Times New Roman" w:hAnsi="Times New Roman"/>
          <w:color w:val="auto"/>
          <w:szCs w:val="21"/>
          <w:highlight w:val="none"/>
        </w:rPr>
        <w:t>3.3</w:t>
      </w:r>
      <w:r>
        <w:rPr>
          <w:rFonts w:hint="eastAsia" w:ascii="Times New Roman" w:hAnsi="Times New Roman"/>
          <w:color w:val="auto"/>
          <w:szCs w:val="21"/>
          <w:highlight w:val="none"/>
          <w:lang w:val="en-US" w:eastAsia="zh-CN"/>
        </w:rPr>
        <w:t xml:space="preserve"> </w:t>
      </w:r>
      <w:r>
        <w:rPr>
          <w:rFonts w:hint="eastAsia" w:ascii="Times New Roman" w:hAnsi="Times New Roman"/>
          <w:color w:val="auto"/>
          <w:szCs w:val="21"/>
          <w:highlight w:val="none"/>
        </w:rPr>
        <w:t>有权验看乙方及合作车辆、人员的相关资质材料，并对不符合要求的提出更换。</w:t>
      </w:r>
    </w:p>
    <w:p>
      <w:pPr>
        <w:widowControl/>
        <w:spacing w:before="156" w:beforeLines="50" w:after="156" w:afterLines="50" w:line="276" w:lineRule="auto"/>
        <w:ind w:firstLine="420" w:firstLineChars="200"/>
        <w:jc w:val="left"/>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3.4 对于乙方提供运输服务过程中导致的货物遗失、损坏、时效延误，有权向乙方索赔并获得赔偿。</w:t>
      </w:r>
    </w:p>
    <w:p>
      <w:pPr>
        <w:widowControl/>
        <w:spacing w:before="156" w:beforeLines="50" w:after="156" w:afterLines="50" w:line="276" w:lineRule="auto"/>
        <w:ind w:firstLine="420" w:firstLineChars="200"/>
        <w:jc w:val="left"/>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3.5 在乙方将货物交付收货人之前，甲方有权要求乙方中止运输、返还货物、变更到达地，但甲方应当补偿乙方因此产生的合理费用。</w:t>
      </w:r>
    </w:p>
    <w:p>
      <w:pPr>
        <w:widowControl/>
        <w:spacing w:before="156" w:beforeLines="50" w:after="156" w:afterLines="50" w:line="276" w:lineRule="auto"/>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lang w:val="en-US" w:eastAsia="zh-CN"/>
        </w:rPr>
        <w:t xml:space="preserve">3.6 </w:t>
      </w:r>
      <w:r>
        <w:rPr>
          <w:rFonts w:ascii="Times New Roman" w:hAnsi="Times New Roman"/>
          <w:color w:val="auto"/>
          <w:szCs w:val="21"/>
          <w:highlight w:val="none"/>
        </w:rPr>
        <w:t>保证不得发运国家禁止的危险品、禁运品（如爆炸、易燃、自燃、易腐蚀性物品等）。</w:t>
      </w:r>
    </w:p>
    <w:p>
      <w:pPr>
        <w:widowControl/>
        <w:spacing w:before="156" w:beforeLines="50" w:after="156" w:afterLines="50" w:line="276"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3.7</w:t>
      </w:r>
      <w:r>
        <w:rPr>
          <w:rFonts w:hint="eastAsia" w:ascii="Times New Roman" w:hAnsi="Times New Roman"/>
          <w:color w:val="auto"/>
          <w:szCs w:val="21"/>
          <w:highlight w:val="none"/>
          <w:lang w:val="en-US" w:eastAsia="zh-CN"/>
        </w:rPr>
        <w:t xml:space="preserve"> </w:t>
      </w:r>
      <w:r>
        <w:rPr>
          <w:rFonts w:hint="eastAsia" w:ascii="Times New Roman" w:hAnsi="Times New Roman"/>
          <w:color w:val="auto"/>
          <w:szCs w:val="21"/>
          <w:highlight w:val="none"/>
        </w:rPr>
        <w:t>需要暂停运营相关合作线路的，甲方应提前15天通知乙方，并明确线路恢复运行的时间（因乙方原因导致该线路取消的除外）。</w:t>
      </w:r>
    </w:p>
    <w:p>
      <w:pPr>
        <w:widowControl/>
        <w:spacing w:before="156" w:beforeLines="50" w:after="156" w:afterLines="50" w:line="276"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3.</w:t>
      </w:r>
      <w:r>
        <w:rPr>
          <w:rFonts w:hint="eastAsia" w:ascii="Times New Roman" w:hAnsi="Times New Roman"/>
          <w:color w:val="auto"/>
          <w:szCs w:val="21"/>
          <w:highlight w:val="none"/>
          <w:lang w:val="en-US" w:eastAsia="zh-CN"/>
        </w:rPr>
        <w:t>8</w:t>
      </w:r>
      <w:r>
        <w:rPr>
          <w:rFonts w:ascii="Times New Roman" w:hAnsi="Times New Roman"/>
          <w:color w:val="auto"/>
          <w:szCs w:val="21"/>
          <w:highlight w:val="none"/>
        </w:rPr>
        <w:t xml:space="preserve"> 甲方应按照</w:t>
      </w:r>
      <w:r>
        <w:rPr>
          <w:rFonts w:hint="eastAsia" w:ascii="Times New Roman" w:hAnsi="Times New Roman"/>
          <w:color w:val="auto"/>
          <w:szCs w:val="21"/>
          <w:highlight w:val="none"/>
        </w:rPr>
        <w:t>本合同约定</w:t>
      </w:r>
      <w:r>
        <w:rPr>
          <w:rFonts w:ascii="Times New Roman" w:hAnsi="Times New Roman"/>
          <w:color w:val="auto"/>
          <w:szCs w:val="21"/>
          <w:highlight w:val="none"/>
        </w:rPr>
        <w:t>按时支付运费。</w:t>
      </w:r>
    </w:p>
    <w:p>
      <w:pPr>
        <w:widowControl/>
        <w:spacing w:before="156" w:beforeLines="50" w:after="156" w:afterLines="50" w:line="276" w:lineRule="auto"/>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rPr>
        <w:t>3</w:t>
      </w:r>
      <w:r>
        <w:rPr>
          <w:rFonts w:ascii="Times New Roman" w:hAnsi="Times New Roman"/>
          <w:color w:val="auto"/>
          <w:szCs w:val="21"/>
          <w:highlight w:val="none"/>
        </w:rPr>
        <w:t>.</w:t>
      </w:r>
      <w:r>
        <w:rPr>
          <w:rFonts w:hint="eastAsia" w:ascii="Times New Roman" w:hAnsi="Times New Roman"/>
          <w:color w:val="auto"/>
          <w:szCs w:val="21"/>
          <w:highlight w:val="none"/>
          <w:lang w:val="en-US" w:eastAsia="zh-CN"/>
        </w:rPr>
        <w:t>9</w:t>
      </w:r>
      <w:r>
        <w:rPr>
          <w:rFonts w:hint="eastAsia" w:ascii="Times New Roman" w:hAnsi="Times New Roman"/>
          <w:color w:val="auto"/>
          <w:szCs w:val="21"/>
          <w:highlight w:val="none"/>
        </w:rPr>
        <w:t>如乙方在运输中遭遇交通事故、自然灾害、盗窃、抢劫等各类意外事件，甲方应在接到乙方通知后协助配合乙方处理相关事件，且应配合提供货物价值证明、受损货物的发票等材料以协助乙方向保险公司办理理赔相关事宜。</w:t>
      </w:r>
    </w:p>
    <w:p>
      <w:pPr>
        <w:spacing w:before="156" w:beforeLines="50" w:after="156" w:afterLines="50" w:line="276" w:lineRule="auto"/>
        <w:rPr>
          <w:rFonts w:ascii="Times New Roman" w:hAnsi="Times New Roman"/>
          <w:b/>
          <w:color w:val="auto"/>
          <w:szCs w:val="21"/>
          <w:highlight w:val="none"/>
        </w:rPr>
      </w:pPr>
      <w:r>
        <w:rPr>
          <w:rFonts w:ascii="Times New Roman" w:hAnsi="Times New Roman"/>
          <w:b/>
          <w:color w:val="auto"/>
          <w:szCs w:val="21"/>
          <w:highlight w:val="none"/>
        </w:rPr>
        <w:t>四、乙方权利及义务</w:t>
      </w:r>
    </w:p>
    <w:p>
      <w:pPr>
        <w:widowControl/>
        <w:spacing w:before="156" w:beforeLines="50" w:after="156" w:afterLines="50" w:line="276"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4.1乙方应保障运输安全</w:t>
      </w:r>
      <w:r>
        <w:rPr>
          <w:rFonts w:hint="eastAsia" w:ascii="Times New Roman" w:hAnsi="Times New Roman"/>
          <w:color w:val="auto"/>
          <w:szCs w:val="21"/>
          <w:highlight w:val="none"/>
        </w:rPr>
        <w:t>及</w:t>
      </w:r>
      <w:r>
        <w:rPr>
          <w:rFonts w:ascii="Times New Roman" w:hAnsi="Times New Roman"/>
          <w:color w:val="auto"/>
          <w:szCs w:val="21"/>
          <w:highlight w:val="none"/>
        </w:rPr>
        <w:t>配送货物的安全，发现异常情况须及时通知甲方并采取</w:t>
      </w:r>
      <w:r>
        <w:rPr>
          <w:rFonts w:hint="eastAsia" w:ascii="Times New Roman" w:hAnsi="Times New Roman"/>
          <w:color w:val="auto"/>
          <w:szCs w:val="21"/>
          <w:highlight w:val="none"/>
        </w:rPr>
        <w:t>必要</w:t>
      </w:r>
      <w:r>
        <w:rPr>
          <w:rFonts w:ascii="Times New Roman" w:hAnsi="Times New Roman"/>
          <w:color w:val="auto"/>
          <w:szCs w:val="21"/>
          <w:highlight w:val="none"/>
        </w:rPr>
        <w:t>措施</w:t>
      </w:r>
      <w:r>
        <w:rPr>
          <w:rFonts w:hint="eastAsia" w:ascii="Times New Roman" w:hAnsi="Times New Roman"/>
          <w:color w:val="auto"/>
          <w:szCs w:val="21"/>
          <w:highlight w:val="none"/>
        </w:rPr>
        <w:t>尽量避免</w:t>
      </w:r>
      <w:r>
        <w:rPr>
          <w:rFonts w:ascii="Times New Roman" w:hAnsi="Times New Roman"/>
          <w:color w:val="auto"/>
          <w:szCs w:val="21"/>
          <w:highlight w:val="none"/>
        </w:rPr>
        <w:t>损失发生</w:t>
      </w:r>
      <w:r>
        <w:rPr>
          <w:rFonts w:hint="eastAsia" w:ascii="Times New Roman" w:hAnsi="Times New Roman"/>
          <w:color w:val="auto"/>
          <w:szCs w:val="21"/>
          <w:highlight w:val="none"/>
        </w:rPr>
        <w:t>或减少损失</w:t>
      </w:r>
      <w:r>
        <w:rPr>
          <w:rFonts w:ascii="Times New Roman" w:hAnsi="Times New Roman"/>
          <w:color w:val="auto"/>
          <w:szCs w:val="21"/>
          <w:highlight w:val="none"/>
        </w:rPr>
        <w:t>。</w:t>
      </w:r>
    </w:p>
    <w:p>
      <w:pPr>
        <w:widowControl/>
        <w:spacing w:before="156" w:beforeLines="50" w:after="156" w:afterLines="50" w:line="276" w:lineRule="auto"/>
        <w:ind w:firstLine="420" w:firstLineChars="200"/>
        <w:jc w:val="left"/>
        <w:rPr>
          <w:rFonts w:hint="eastAsia" w:ascii="Times New Roman" w:hAnsi="Times New Roman"/>
          <w:color w:val="auto"/>
          <w:szCs w:val="21"/>
          <w:highlight w:val="none"/>
        </w:rPr>
      </w:pPr>
      <w:r>
        <w:rPr>
          <w:rFonts w:ascii="Times New Roman" w:hAnsi="Times New Roman"/>
          <w:color w:val="auto"/>
          <w:szCs w:val="21"/>
          <w:highlight w:val="none"/>
        </w:rPr>
        <w:t>4.2</w:t>
      </w:r>
      <w:r>
        <w:rPr>
          <w:rFonts w:hint="eastAsia" w:ascii="Times New Roman" w:hAnsi="Times New Roman"/>
          <w:color w:val="auto"/>
          <w:szCs w:val="21"/>
          <w:highlight w:val="none"/>
          <w:lang w:val="en-US" w:eastAsia="zh-CN"/>
        </w:rPr>
        <w:t xml:space="preserve"> </w:t>
      </w:r>
      <w:r>
        <w:rPr>
          <w:rFonts w:hint="eastAsia" w:ascii="Times New Roman" w:hAnsi="Times New Roman"/>
          <w:color w:val="auto"/>
          <w:szCs w:val="21"/>
          <w:highlight w:val="none"/>
        </w:rPr>
        <w:t>有权按照本合同约定向甲方收取相关款项。</w:t>
      </w:r>
    </w:p>
    <w:p>
      <w:pPr>
        <w:widowControl/>
        <w:spacing w:before="156" w:beforeLines="50" w:after="156" w:afterLines="50" w:line="276" w:lineRule="auto"/>
        <w:ind w:firstLine="420" w:firstLineChars="200"/>
        <w:jc w:val="left"/>
        <w:rPr>
          <w:rFonts w:hint="eastAsia" w:ascii="Times New Roman" w:hAnsi="Times New Roman"/>
          <w:color w:val="auto"/>
          <w:szCs w:val="21"/>
          <w:highlight w:val="none"/>
          <w:lang w:eastAsia="zh-CN"/>
        </w:rPr>
      </w:pPr>
      <w:r>
        <w:rPr>
          <w:rFonts w:hint="eastAsia" w:ascii="Times New Roman" w:hAnsi="Times New Roman"/>
          <w:color w:val="auto"/>
          <w:szCs w:val="21"/>
          <w:highlight w:val="none"/>
        </w:rPr>
        <w:t>4.3</w:t>
      </w:r>
      <w:r>
        <w:rPr>
          <w:rFonts w:hint="eastAsia" w:ascii="Times New Roman" w:hAnsi="Times New Roman"/>
          <w:color w:val="auto"/>
          <w:szCs w:val="21"/>
          <w:highlight w:val="none"/>
          <w:lang w:val="en-US" w:eastAsia="zh-CN"/>
        </w:rPr>
        <w:t xml:space="preserve"> </w:t>
      </w:r>
      <w:r>
        <w:rPr>
          <w:rFonts w:hint="eastAsia" w:ascii="Times New Roman" w:hAnsi="Times New Roman"/>
          <w:color w:val="auto"/>
          <w:szCs w:val="21"/>
          <w:highlight w:val="none"/>
        </w:rPr>
        <w:t>有权提前了解甲方合作运力需求信息以便提前做好运力调配和准备工作</w:t>
      </w:r>
      <w:r>
        <w:rPr>
          <w:rFonts w:hint="eastAsia" w:ascii="Times New Roman" w:hAnsi="Times New Roman"/>
          <w:color w:val="auto"/>
          <w:szCs w:val="21"/>
          <w:highlight w:val="none"/>
          <w:lang w:eastAsia="zh-CN"/>
        </w:rPr>
        <w:t>。</w:t>
      </w:r>
    </w:p>
    <w:p>
      <w:pPr>
        <w:widowControl/>
        <w:spacing w:before="156" w:beforeLines="50" w:after="156" w:afterLines="50" w:line="276" w:lineRule="auto"/>
        <w:ind w:firstLine="420" w:firstLineChars="200"/>
        <w:jc w:val="left"/>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4.4 乙方在接受甲方委托运输的货物时，对货物的体积、重量、温度情况予以确认。如发现包装不当、捆绑不牢固以致不便于运输，以及包装损坏、玷污的，有权利要求甲方重新包装以保证货物的安全或将货物退回甲方。乙方一旦接受，则视为甲方交付的货物完好、无污染、温度符合约定，适合运输。</w:t>
      </w:r>
    </w:p>
    <w:p>
      <w:pPr>
        <w:widowControl/>
        <w:spacing w:before="156" w:beforeLines="50" w:after="156" w:afterLines="50" w:line="276" w:lineRule="auto"/>
        <w:ind w:firstLine="420" w:firstLineChars="200"/>
        <w:jc w:val="left"/>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4.5 有义务按照合作要求为甲方提供运输服务，并需要在规定的时间内调配合格的车型运送货物（合格车辆指行驶证、驾驶证、身份证、营运证、购置附加费、保险单等“六证”齐全、车辆符合甲方客户产品装载要求），且并有义务采取所有必要的预防措施﹑方法及程序来确保货物在运输过程中的安全。</w:t>
      </w:r>
    </w:p>
    <w:p>
      <w:pPr>
        <w:widowControl/>
        <w:spacing w:before="156" w:beforeLines="50" w:after="156" w:afterLines="50" w:line="276" w:lineRule="auto"/>
        <w:ind w:firstLine="420" w:firstLineChars="200"/>
        <w:jc w:val="left"/>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4.6 乙方应严格按照交通运输及相关法律、法规操作，安全、合法地运输。在运输途中，由于乙方超载引起运输货物破损的情况，或其它任何所有损失由乙方承担，且乙方应当赔偿由此对甲方商誉造成的一切损失。</w:t>
      </w:r>
    </w:p>
    <w:p>
      <w:pPr>
        <w:widowControl/>
        <w:spacing w:before="156" w:beforeLines="50" w:after="156" w:afterLines="50" w:line="276" w:lineRule="auto"/>
        <w:ind w:firstLine="420" w:firstLineChars="200"/>
        <w:jc w:val="left"/>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4.7 乙方车辆在运输甲方或甲方客户的货物时发生意外事故的，其车辆损失及人员伤亡由乙方自行负责，造成第三人财务损失和伤亡的，乙方应当予以补偿并在此同意保护和不使甲方承担任何责任。甲方及其货物因此遭受损失的，乙方应当按照货物实际价值予以赔偿。</w:t>
      </w:r>
    </w:p>
    <w:p>
      <w:pPr>
        <w:widowControl/>
        <w:spacing w:before="156" w:beforeLines="50" w:after="156" w:afterLines="50" w:line="276" w:lineRule="auto"/>
        <w:ind w:firstLine="420" w:firstLineChars="200"/>
        <w:jc w:val="left"/>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4.8 鉴于货物的时效性、温度敏感性、安全性等特殊性质，不论何种原因，乙方及乙方雇员不得扣留（包括变卖、抵押等）、留置甲方的货物或实施其他危及货物安全和时效的行为，否则，视为乙方按照甲方销售价格购买被乙方留置、扣留（包括变卖、抵押等） 的甲方货物，如因此造成甲方其他损失，乙方应当另行赔偿给甲方。</w:t>
      </w:r>
    </w:p>
    <w:p>
      <w:pPr>
        <w:widowControl/>
        <w:spacing w:before="156" w:beforeLines="50" w:after="156" w:afterLines="50" w:line="276" w:lineRule="auto"/>
        <w:ind w:firstLine="420" w:firstLineChars="200"/>
        <w:jc w:val="left"/>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4.9 乙方需按要求使用甲方提供的运输平台系统，甲方通过平台系统指派运单给乙方，乙方操作系统接单、分配运输任务、完成运单签收，则表示完成平台系统线上化运输过程的闭环。</w:t>
      </w:r>
    </w:p>
    <w:p>
      <w:pPr>
        <w:pStyle w:val="4"/>
        <w:ind w:firstLine="420" w:firstLineChars="200"/>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 xml:space="preserve">4.10 </w:t>
      </w:r>
      <w:r>
        <w:rPr>
          <w:rFonts w:hint="default" w:ascii="Times New Roman" w:hAnsi="Times New Roman"/>
          <w:color w:val="auto"/>
          <w:szCs w:val="21"/>
          <w:highlight w:val="none"/>
          <w:lang w:val="en-US" w:eastAsia="zh-CN"/>
        </w:rPr>
        <w:t>乙方应在每个季度结束次月20日前提供截止至上一季度的无欠税证明文件，如未按时提供的，甲方有权暂停付款，直至乙方提供；如不提供且经核查存在欠税情况的，甲方有权暂停付款，由此给甲方造成的损失由乙全额承担，甲方有权在未结款项或保证金中扣除，不足部分甲方有权对乙方进行追索。</w:t>
      </w:r>
    </w:p>
    <w:p>
      <w:pPr>
        <w:pStyle w:val="4"/>
        <w:ind w:firstLine="420" w:firstLineChars="200"/>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4.11 乙方应按照本合同约定及时向甲方出具足额、合法、有效的增值税专用发票，若乙方未向甲方出具发票，或出具的发票致使甲方不能抵扣（含抵扣后被税务机关要求作进项税转出）等情况的，甲方有权要求乙方按照未开具发票总金额或不能抵扣发票总金额的20%承担违约金。</w:t>
      </w:r>
    </w:p>
    <w:p>
      <w:pPr>
        <w:pStyle w:val="4"/>
        <w:ind w:firstLine="420" w:firstLineChars="200"/>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4.12 乙方未经甲方书面同意私自停运的，应当赔偿甲方违约金20万元，违约金不足以弥甲方损失的，乙方应当予以补足。</w:t>
      </w:r>
    </w:p>
    <w:p>
      <w:pPr>
        <w:pStyle w:val="4"/>
        <w:ind w:firstLine="420" w:firstLineChars="200"/>
        <w:rPr>
          <w:rFonts w:hint="default" w:ascii="Times New Roman" w:hAnsi="Times New Roman"/>
          <w:color w:val="auto"/>
          <w:highlight w:val="none"/>
        </w:rPr>
      </w:pPr>
      <w:r>
        <w:rPr>
          <w:rFonts w:hint="eastAsia" w:ascii="Times New Roman" w:hAnsi="Times New Roman"/>
          <w:color w:val="auto"/>
          <w:szCs w:val="21"/>
          <w:highlight w:val="none"/>
          <w:lang w:val="en-US" w:eastAsia="zh-CN"/>
        </w:rPr>
        <w:t xml:space="preserve">4.13 </w:t>
      </w:r>
      <w:r>
        <w:rPr>
          <w:rFonts w:hint="default" w:ascii="Times New Roman" w:hAnsi="Times New Roman"/>
          <w:color w:val="auto"/>
          <w:highlight w:val="none"/>
        </w:rPr>
        <w:t>乙方在向甲方提供服务（或与提供服务相关）的过程中，若发生欠薪、欠款以及其他违法行为，或因乙方发生内部经济纠纷等乙方原因，导致乙方人员或者乙方的关联公司、下游承运人、合作伙伴及其人员等发生其他影响甲方或甲方客户正常生产经营秩序的行为（包括但不限于堵门、罢工、拉横幅、车辆到位后封堵、挤占车位、要求甲方支付费用等行为），乙方须在3日内处理完毕相关异常，且因此而产生的各客户投诉、理赔、罚款等各项损失，全部由乙方承担。如乙方未在3日内处理完毕相关异常，或情节恶劣的，乙方认可将甲方未支付给乙方的剩余运费（含已发生但结算期未满的运费）全部或部分无条件转让给甲方，直接由甲方依据乙方人员、下游承运人或承运人关联人员（含司机、亲友等）、其他第三人（简称“上述人员”）单方主张的债权金额，在上述债权金额范围内向上述人员支付相关费用，该费用直接从甲方应付乙方运费中扣除，运费不足抵扣的，乙方应在3日内予以补足。乙方人员、下游承运人或承运人关联人员发生影响甲方或甲方客户正常生产经营秩序的行为，甲方有权要求乙方承担违约责任，违约金 5万元/次，如该违约金不足以弥补甲方及甲方客户损失的，甲方有权继续向乙方追偿。</w:t>
      </w:r>
    </w:p>
    <w:p>
      <w:pPr>
        <w:spacing w:before="156" w:beforeLines="50" w:after="156" w:afterLines="50" w:line="276" w:lineRule="auto"/>
        <w:rPr>
          <w:rFonts w:hint="eastAsia" w:ascii="Times New Roman" w:hAnsi="Times New Roman" w:eastAsia="宋体"/>
          <w:b/>
          <w:color w:val="auto"/>
          <w:szCs w:val="21"/>
          <w:highlight w:val="none"/>
          <w:lang w:val="en-US" w:eastAsia="zh-CN"/>
        </w:rPr>
      </w:pPr>
      <w:r>
        <w:rPr>
          <w:rFonts w:ascii="Times New Roman" w:hAnsi="Times New Roman"/>
          <w:b/>
          <w:color w:val="auto"/>
          <w:szCs w:val="21"/>
          <w:highlight w:val="none"/>
        </w:rPr>
        <w:t>五、</w:t>
      </w:r>
      <w:r>
        <w:rPr>
          <w:rFonts w:hint="eastAsia" w:ascii="Times New Roman" w:hAnsi="Times New Roman"/>
          <w:b/>
          <w:color w:val="auto"/>
          <w:szCs w:val="21"/>
          <w:highlight w:val="none"/>
        </w:rPr>
        <w:t>服务</w:t>
      </w:r>
      <w:r>
        <w:rPr>
          <w:rFonts w:ascii="Times New Roman" w:hAnsi="Times New Roman"/>
          <w:b/>
          <w:color w:val="auto"/>
          <w:szCs w:val="21"/>
          <w:highlight w:val="none"/>
        </w:rPr>
        <w:t>费</w:t>
      </w:r>
      <w:r>
        <w:rPr>
          <w:rFonts w:hint="eastAsia" w:ascii="Times New Roman" w:hAnsi="Times New Roman"/>
          <w:b/>
          <w:color w:val="auto"/>
          <w:szCs w:val="21"/>
          <w:highlight w:val="none"/>
        </w:rPr>
        <w:t>用</w:t>
      </w:r>
      <w:r>
        <w:rPr>
          <w:rFonts w:ascii="Times New Roman" w:hAnsi="Times New Roman"/>
          <w:b/>
          <w:color w:val="auto"/>
          <w:szCs w:val="21"/>
          <w:highlight w:val="none"/>
        </w:rPr>
        <w:t>及结算</w:t>
      </w:r>
      <w:r>
        <w:rPr>
          <w:rFonts w:hint="eastAsia" w:ascii="Times New Roman" w:hAnsi="Times New Roman"/>
          <w:b/>
          <w:color w:val="auto"/>
          <w:szCs w:val="21"/>
          <w:highlight w:val="none"/>
          <w:lang w:val="en-US" w:eastAsia="zh-CN"/>
        </w:rPr>
        <w:t>标准</w:t>
      </w:r>
    </w:p>
    <w:p>
      <w:pPr>
        <w:widowControl/>
        <w:spacing w:before="156" w:beforeLines="50" w:after="156" w:afterLines="50" w:line="276"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5.1收费标准：</w:t>
      </w:r>
    </w:p>
    <w:p>
      <w:pPr>
        <w:widowControl/>
        <w:spacing w:before="156" w:beforeLines="50" w:after="156" w:afterLines="50" w:line="276" w:lineRule="auto"/>
        <w:ind w:firstLine="420" w:firstLineChars="200"/>
        <w:jc w:val="left"/>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rPr>
        <w:t>按甲方在系统下单后乙方通过平台接单的对账单或甲乙双方邮件中发送的盖章版对账单（双方均需盖章，扫描件有效）确认的账单金额为准进行费用结算。</w:t>
      </w:r>
    </w:p>
    <w:p>
      <w:pPr>
        <w:widowControl/>
        <w:spacing w:before="156" w:beforeLines="50" w:after="156" w:afterLines="50" w:line="276" w:lineRule="auto"/>
        <w:ind w:firstLine="420" w:firstLineChars="200"/>
        <w:jc w:val="left"/>
        <w:rPr>
          <w:rFonts w:ascii="Times New Roman" w:hAnsi="Times New Roman"/>
          <w:color w:val="auto"/>
          <w:kern w:val="10"/>
          <w:szCs w:val="21"/>
          <w:highlight w:val="none"/>
        </w:rPr>
      </w:pPr>
      <w:r>
        <w:rPr>
          <w:rFonts w:ascii="Times New Roman" w:hAnsi="Times New Roman"/>
          <w:color w:val="auto"/>
          <w:kern w:val="10"/>
          <w:szCs w:val="21"/>
          <w:highlight w:val="none"/>
        </w:rPr>
        <w:t>5.2结算方式：</w:t>
      </w:r>
    </w:p>
    <w:p>
      <w:pPr>
        <w:widowControl/>
        <w:spacing w:before="156" w:beforeLines="50" w:after="156" w:afterLines="50" w:line="276" w:lineRule="auto"/>
        <w:ind w:firstLine="420" w:firstLineChars="200"/>
        <w:jc w:val="left"/>
        <w:rPr>
          <w:rFonts w:ascii="Times New Roman" w:hAnsi="Times New Roman"/>
          <w:color w:val="auto"/>
          <w:szCs w:val="21"/>
          <w:highlight w:val="none"/>
        </w:rPr>
      </w:pPr>
      <w:r>
        <w:rPr>
          <w:rFonts w:hint="eastAsia" w:ascii="宋体" w:hAnsi="宋体" w:cs="宋体"/>
          <w:color w:val="auto"/>
          <w:szCs w:val="21"/>
          <w:highlight w:val="none"/>
        </w:rPr>
        <w:t>甲乙双方约定，每月【5】日前乙方把上一个自然月甲方发货明细表通过电子邮箱或纸质等方式提供给甲方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并告知甲方是否完成系统平台接单任务</w:t>
      </w:r>
      <w:r>
        <w:rPr>
          <w:rFonts w:ascii="Times New Roman" w:hAnsi="Times New Roman"/>
          <w:color w:val="auto"/>
          <w:szCs w:val="21"/>
          <w:highlight w:val="none"/>
        </w:rPr>
        <w:t>。</w:t>
      </w:r>
      <w:r>
        <w:rPr>
          <w:rFonts w:hint="eastAsia" w:ascii="Times New Roman" w:hAnsi="Times New Roman"/>
          <w:color w:val="auto"/>
          <w:szCs w:val="21"/>
          <w:highlight w:val="none"/>
        </w:rPr>
        <w:t>甲方应</w:t>
      </w:r>
      <w:r>
        <w:rPr>
          <w:rFonts w:ascii="Times New Roman" w:hAnsi="Times New Roman"/>
          <w:color w:val="auto"/>
          <w:szCs w:val="21"/>
          <w:highlight w:val="none"/>
        </w:rPr>
        <w:t>核对</w:t>
      </w:r>
      <w:r>
        <w:rPr>
          <w:rFonts w:hint="eastAsia" w:ascii="Times New Roman" w:hAnsi="Times New Roman"/>
          <w:color w:val="auto"/>
          <w:szCs w:val="21"/>
          <w:highlight w:val="none"/>
        </w:rPr>
        <w:t>确认</w:t>
      </w:r>
      <w:r>
        <w:rPr>
          <w:rFonts w:ascii="Times New Roman" w:hAnsi="Times New Roman"/>
          <w:color w:val="auto"/>
          <w:szCs w:val="21"/>
          <w:highlight w:val="none"/>
        </w:rPr>
        <w:t>上月</w:t>
      </w:r>
      <w:r>
        <w:rPr>
          <w:rFonts w:hint="eastAsia" w:ascii="Times New Roman" w:hAnsi="Times New Roman"/>
          <w:color w:val="auto"/>
          <w:szCs w:val="21"/>
          <w:highlight w:val="none"/>
        </w:rPr>
        <w:t>运输服务明细及费用总金额</w:t>
      </w: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lang w:val="en-US" w:eastAsia="zh-CN"/>
        </w:rPr>
        <w:t>以及确定平台系统运单的完成情况</w:t>
      </w: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lang w:val="en-US" w:eastAsia="zh-CN"/>
        </w:rPr>
        <w:t>甲方在对账后</w:t>
      </w:r>
      <w:r>
        <w:rPr>
          <w:rFonts w:hint="eastAsia" w:ascii="Times New Roman" w:hAnsi="Times New Roman"/>
          <w:color w:val="auto"/>
          <w:szCs w:val="21"/>
          <w:highlight w:val="yellow"/>
          <w:lang w:val="en-US" w:eastAsia="zh-CN"/>
        </w:rPr>
        <w:t>【  】日</w:t>
      </w:r>
      <w:r>
        <w:rPr>
          <w:rFonts w:hint="eastAsia" w:ascii="Times New Roman" w:hAnsi="Times New Roman"/>
          <w:color w:val="auto"/>
          <w:szCs w:val="21"/>
          <w:highlight w:val="none"/>
          <w:lang w:val="en-US" w:eastAsia="zh-CN"/>
        </w:rPr>
        <w:t>内付款给乙方，乙方在收到款项次日内向甲方出具</w:t>
      </w:r>
      <w:r>
        <w:rPr>
          <w:rFonts w:hint="eastAsia" w:ascii="Times New Roman" w:hAnsi="Times New Roman"/>
          <w:color w:val="auto"/>
          <w:szCs w:val="21"/>
          <w:highlight w:val="none"/>
        </w:rPr>
        <w:t>等额、合法、</w:t>
      </w:r>
      <w:r>
        <w:rPr>
          <w:rFonts w:ascii="Times New Roman" w:hAnsi="Times New Roman"/>
          <w:color w:val="auto"/>
          <w:szCs w:val="21"/>
          <w:highlight w:val="none"/>
        </w:rPr>
        <w:t>有效</w:t>
      </w:r>
      <w:r>
        <w:rPr>
          <w:rFonts w:hint="eastAsia" w:ascii="Times New Roman" w:hAnsi="Times New Roman"/>
          <w:color w:val="auto"/>
          <w:szCs w:val="21"/>
          <w:highlight w:val="none"/>
        </w:rPr>
        <w:t>的</w:t>
      </w:r>
      <w:r>
        <w:rPr>
          <w:rFonts w:hint="eastAsia" w:ascii="Times New Roman" w:hAnsi="Times New Roman"/>
          <w:color w:val="auto"/>
          <w:szCs w:val="21"/>
          <w:highlight w:val="none"/>
          <w:lang w:val="en-US" w:eastAsia="zh-CN"/>
        </w:rPr>
        <w:t>增值税专用</w:t>
      </w:r>
      <w:r>
        <w:rPr>
          <w:rFonts w:ascii="Times New Roman" w:hAnsi="Times New Roman"/>
          <w:color w:val="auto"/>
          <w:szCs w:val="21"/>
          <w:highlight w:val="none"/>
        </w:rPr>
        <w:t>发票</w:t>
      </w: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lang w:val="en-US" w:eastAsia="zh-CN"/>
        </w:rPr>
        <w:t>税率为9%</w:t>
      </w:r>
      <w:r>
        <w:rPr>
          <w:rFonts w:hint="eastAsia" w:ascii="Times New Roman" w:hAnsi="Times New Roman"/>
          <w:color w:val="auto"/>
          <w:szCs w:val="21"/>
          <w:highlight w:val="none"/>
          <w:lang w:eastAsia="zh-CN"/>
        </w:rPr>
        <w:t>）</w:t>
      </w:r>
      <w:r>
        <w:rPr>
          <w:rFonts w:ascii="Times New Roman" w:hAnsi="Times New Roman"/>
          <w:color w:val="auto"/>
          <w:szCs w:val="21"/>
          <w:highlight w:val="none"/>
        </w:rPr>
        <w:t>。</w:t>
      </w:r>
      <w:r>
        <w:rPr>
          <w:rFonts w:hint="eastAsia" w:ascii="Times New Roman" w:hAnsi="Times New Roman"/>
          <w:color w:val="auto"/>
          <w:szCs w:val="21"/>
          <w:highlight w:val="none"/>
        </w:rPr>
        <w:t>甲方按前述约定向乙方支付运费的前提条件是已从客户处获得此部分运费，如甲方客户延期支付本项目相关款项的，甲方付款时间相应顺延，不视为甲方违约。</w:t>
      </w:r>
    </w:p>
    <w:p>
      <w:pPr>
        <w:widowControl/>
        <w:spacing w:before="156" w:beforeLines="50" w:after="156" w:afterLines="50" w:line="276" w:lineRule="auto"/>
        <w:ind w:firstLine="420" w:firstLineChars="200"/>
        <w:jc w:val="left"/>
        <w:rPr>
          <w:rFonts w:hint="eastAsia" w:ascii="宋体" w:hAnsi="宋体" w:eastAsia="宋体" w:cs="宋体"/>
          <w:color w:val="auto"/>
          <w:szCs w:val="21"/>
          <w:highlight w:val="none"/>
          <w:lang w:eastAsia="zh-CN"/>
        </w:rPr>
      </w:pPr>
      <w:r>
        <w:rPr>
          <w:rFonts w:ascii="Times New Roman" w:hAnsi="Times New Roman"/>
          <w:color w:val="auto"/>
          <w:szCs w:val="21"/>
          <w:highlight w:val="none"/>
        </w:rPr>
        <w:t>5.3</w:t>
      </w:r>
      <w:r>
        <w:rPr>
          <w:rFonts w:hint="eastAsia" w:ascii="Times New Roman" w:hAnsi="Times New Roman"/>
          <w:color w:val="auto"/>
          <w:szCs w:val="21"/>
          <w:highlight w:val="none"/>
          <w:lang w:val="en-US" w:eastAsia="zh-CN"/>
        </w:rPr>
        <w:t>甲方开票信息与乙方账户信息，</w:t>
      </w:r>
      <w:r>
        <w:rPr>
          <w:rFonts w:hint="eastAsia" w:ascii="宋体" w:hAnsi="宋体" w:cs="宋体"/>
          <w:color w:val="auto"/>
          <w:szCs w:val="21"/>
          <w:highlight w:val="none"/>
        </w:rPr>
        <w:t>甲方应将所有应付费用支付到乙方指定的如下银行账户</w:t>
      </w:r>
      <w:r>
        <w:rPr>
          <w:rFonts w:hint="eastAsia" w:ascii="宋体" w:hAnsi="宋体" w:cs="宋体"/>
          <w:color w:val="auto"/>
          <w:szCs w:val="21"/>
          <w:highlight w:val="none"/>
          <w:lang w:eastAsia="zh-CN"/>
        </w:rPr>
        <w:t>。</w:t>
      </w:r>
    </w:p>
    <w:p>
      <w:pPr>
        <w:ind w:firstLine="210" w:firstLineChars="100"/>
        <w:rPr>
          <w:rFonts w:ascii="宋体" w:hAnsi="宋体" w:cs="宋体"/>
          <w:color w:val="auto"/>
          <w:szCs w:val="21"/>
          <w:highlight w:val="none"/>
        </w:rPr>
      </w:pPr>
      <w:r>
        <w:rPr>
          <w:rFonts w:hint="eastAsia" w:ascii="宋体" w:hAnsi="宋体" w:cs="宋体"/>
          <w:color w:val="auto"/>
          <w:szCs w:val="21"/>
          <w:highlight w:val="none"/>
        </w:rPr>
        <w:t>甲方的开票信息如下：</w:t>
      </w:r>
    </w:p>
    <w:p>
      <w:pPr>
        <w:ind w:firstLine="283" w:firstLineChars="135"/>
        <w:jc w:val="left"/>
        <w:rPr>
          <w:rFonts w:ascii="宋体" w:hAnsi="宋体"/>
          <w:color w:val="auto"/>
          <w:szCs w:val="21"/>
          <w:highlight w:val="none"/>
        </w:rPr>
      </w:pPr>
      <w:r>
        <w:rPr>
          <w:rFonts w:hint="eastAsia" w:ascii="宋体" w:hAnsi="宋体"/>
          <w:color w:val="auto"/>
          <w:szCs w:val="21"/>
          <w:highlight w:val="none"/>
        </w:rPr>
        <w:t xml:space="preserve">名称：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w:t>
      </w:r>
    </w:p>
    <w:p>
      <w:pPr>
        <w:ind w:firstLine="283" w:firstLineChars="135"/>
        <w:jc w:val="left"/>
        <w:rPr>
          <w:rFonts w:ascii="宋体" w:hAnsi="宋体"/>
          <w:color w:val="auto"/>
          <w:szCs w:val="21"/>
          <w:highlight w:val="none"/>
        </w:rPr>
      </w:pPr>
      <w:r>
        <w:rPr>
          <w:rFonts w:hint="eastAsia" w:ascii="宋体" w:hAnsi="宋体"/>
          <w:color w:val="auto"/>
          <w:szCs w:val="21"/>
          <w:highlight w:val="none"/>
        </w:rPr>
        <w:t xml:space="preserve">税号：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p>
    <w:p>
      <w:pPr>
        <w:ind w:firstLine="283" w:firstLineChars="135"/>
        <w:jc w:val="left"/>
        <w:rPr>
          <w:rFonts w:ascii="宋体" w:hAnsi="宋体"/>
          <w:color w:val="auto"/>
          <w:szCs w:val="21"/>
          <w:highlight w:val="none"/>
        </w:rPr>
      </w:pPr>
      <w:r>
        <w:rPr>
          <w:rFonts w:hint="eastAsia" w:ascii="宋体" w:hAnsi="宋体"/>
          <w:color w:val="auto"/>
          <w:szCs w:val="21"/>
          <w:highlight w:val="none"/>
        </w:rPr>
        <w:t>开户行：</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w:t>
      </w:r>
    </w:p>
    <w:p>
      <w:pPr>
        <w:ind w:firstLine="283" w:firstLineChars="135"/>
        <w:jc w:val="left"/>
        <w:rPr>
          <w:rFonts w:ascii="宋体" w:hAnsi="宋体"/>
          <w:color w:val="auto"/>
          <w:szCs w:val="21"/>
          <w:highlight w:val="none"/>
        </w:rPr>
      </w:pPr>
      <w:r>
        <w:rPr>
          <w:rFonts w:hint="eastAsia" w:ascii="宋体" w:hAnsi="宋体"/>
          <w:color w:val="auto"/>
          <w:szCs w:val="21"/>
          <w:highlight w:val="none"/>
        </w:rPr>
        <w:t xml:space="preserve">账号：  </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w:t>
      </w:r>
    </w:p>
    <w:p>
      <w:pPr>
        <w:ind w:firstLine="283" w:firstLineChars="135"/>
        <w:jc w:val="left"/>
        <w:rPr>
          <w:rFonts w:hint="eastAsia" w:ascii="宋体" w:hAnsi="宋体" w:cs="宋体"/>
          <w:color w:val="auto"/>
          <w:szCs w:val="21"/>
          <w:highlight w:val="none"/>
        </w:rPr>
      </w:pPr>
      <w:r>
        <w:rPr>
          <w:rFonts w:hint="eastAsia" w:ascii="宋体" w:hAnsi="宋体"/>
          <w:color w:val="auto"/>
          <w:szCs w:val="21"/>
          <w:highlight w:val="none"/>
        </w:rPr>
        <w:t>地址电话：</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p>
    <w:p>
      <w:pPr>
        <w:ind w:firstLine="283" w:firstLineChars="135"/>
        <w:rPr>
          <w:rFonts w:hint="eastAsia" w:ascii="宋体" w:hAnsi="宋体" w:cs="宋体"/>
          <w:color w:val="auto"/>
          <w:szCs w:val="21"/>
          <w:highlight w:val="none"/>
        </w:rPr>
      </w:pPr>
    </w:p>
    <w:p>
      <w:pPr>
        <w:ind w:firstLine="283" w:firstLineChars="135"/>
        <w:rPr>
          <w:rFonts w:ascii="宋体" w:hAnsi="宋体" w:cs="宋体"/>
          <w:color w:val="auto"/>
          <w:szCs w:val="21"/>
          <w:highlight w:val="none"/>
        </w:rPr>
      </w:pPr>
      <w:r>
        <w:rPr>
          <w:rFonts w:hint="eastAsia" w:ascii="宋体" w:hAnsi="宋体" w:cs="宋体"/>
          <w:color w:val="auto"/>
          <w:szCs w:val="21"/>
          <w:highlight w:val="none"/>
        </w:rPr>
        <w:t>乙方指定收款帐户信息如下：</w:t>
      </w:r>
    </w:p>
    <w:p>
      <w:pPr>
        <w:ind w:firstLine="283" w:firstLineChars="135"/>
        <w:rPr>
          <w:rFonts w:ascii="宋体" w:hAnsi="宋体" w:cs="宋体"/>
          <w:color w:val="auto"/>
          <w:szCs w:val="21"/>
          <w:highlight w:val="none"/>
        </w:rPr>
      </w:pPr>
      <w:r>
        <w:rPr>
          <w:rFonts w:hint="eastAsia" w:ascii="宋体" w:hAnsi="宋体" w:cs="宋体"/>
          <w:color w:val="auto"/>
          <w:szCs w:val="21"/>
          <w:highlight w:val="none"/>
        </w:rPr>
        <w:t>账户名称：【</w:t>
      </w:r>
      <w:r>
        <w:rPr>
          <w:rFonts w:hint="eastAsia" w:ascii="宋体" w:hAnsi="宋体" w:cs="宋体"/>
          <w:color w:val="auto"/>
          <w:szCs w:val="21"/>
          <w:highlight w:val="none"/>
          <w:lang w:val="en-US" w:eastAsia="zh-CN"/>
        </w:rPr>
        <w:t xml:space="preserve">                           </w:t>
      </w:r>
      <w:r>
        <w:rPr>
          <w:rFonts w:hint="eastAsia"/>
          <w:b/>
          <w:color w:val="auto"/>
          <w:szCs w:val="21"/>
          <w:highlight w:val="none"/>
          <w:lang w:val="en-US" w:eastAsia="zh-CN"/>
        </w:rPr>
        <w:t xml:space="preserve"> </w:t>
      </w:r>
      <w:r>
        <w:rPr>
          <w:rFonts w:hint="eastAsia" w:ascii="宋体" w:hAnsi="宋体" w:cs="宋体"/>
          <w:color w:val="auto"/>
          <w:szCs w:val="21"/>
          <w:highlight w:val="none"/>
        </w:rPr>
        <w:t>】</w:t>
      </w:r>
    </w:p>
    <w:p>
      <w:pPr>
        <w:ind w:firstLine="283" w:firstLineChars="135"/>
        <w:rPr>
          <w:rFonts w:hint="eastAsia" w:asciiTheme="minorEastAsia" w:hAnsiTheme="minorEastAsia" w:eastAsiaTheme="minorEastAsia" w:cstheme="minorEastAsia"/>
          <w:color w:val="auto"/>
          <w:sz w:val="21"/>
          <w:szCs w:val="21"/>
          <w:highlight w:val="none"/>
        </w:rPr>
      </w:pPr>
      <w:r>
        <w:rPr>
          <w:rFonts w:hint="eastAsia" w:ascii="宋体" w:hAnsi="宋体" w:cs="宋体"/>
          <w:color w:val="auto"/>
          <w:szCs w:val="21"/>
          <w:highlight w:val="none"/>
        </w:rPr>
        <w:t xml:space="preserve">开户银行：【 </w:t>
      </w:r>
      <w:r>
        <w:rPr>
          <w:rFonts w:hint="eastAsia" w:ascii="宋体" w:hAnsi="宋体" w:cs="宋体"/>
          <w:color w:val="auto"/>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w:t>
      </w:r>
    </w:p>
    <w:p>
      <w:pPr>
        <w:ind w:firstLine="283" w:firstLineChars="135"/>
        <w:rPr>
          <w:rFonts w:ascii="宋体" w:hAnsi="宋体" w:cs="宋体"/>
          <w:color w:val="auto"/>
          <w:szCs w:val="21"/>
          <w:highlight w:val="none"/>
        </w:rPr>
      </w:pPr>
      <w:r>
        <w:rPr>
          <w:rFonts w:hint="eastAsia" w:ascii="宋体" w:hAnsi="宋体" w:cs="宋体"/>
          <w:color w:val="auto"/>
          <w:szCs w:val="21"/>
          <w:highlight w:val="none"/>
        </w:rPr>
        <w:t>银行账号：【</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w:t>
      </w:r>
    </w:p>
    <w:p>
      <w:pPr>
        <w:widowControl/>
        <w:spacing w:before="156" w:beforeLines="50" w:after="156" w:afterLines="50" w:line="276" w:lineRule="auto"/>
        <w:ind w:firstLine="210" w:firstLineChars="100"/>
        <w:jc w:val="left"/>
        <w:rPr>
          <w:rFonts w:ascii="Times New Roman" w:hAnsi="Times New Roman"/>
          <w:color w:val="auto"/>
          <w:szCs w:val="21"/>
          <w:highlight w:val="none"/>
        </w:rPr>
      </w:pPr>
      <w:r>
        <w:rPr>
          <w:rFonts w:ascii="Times New Roman" w:hAnsi="Times New Roman"/>
          <w:color w:val="auto"/>
          <w:szCs w:val="21"/>
          <w:highlight w:val="none"/>
        </w:rPr>
        <w:t>如果乙方上述银行账户信息有所变更，应提前10个工作日通知甲方。</w:t>
      </w:r>
    </w:p>
    <w:p>
      <w:pPr>
        <w:widowControl/>
        <w:spacing w:before="156" w:beforeLines="50" w:after="156" w:afterLines="50" w:line="276"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5.</w:t>
      </w:r>
      <w:r>
        <w:rPr>
          <w:rFonts w:hint="eastAsia" w:ascii="Times New Roman" w:hAnsi="Times New Roman"/>
          <w:color w:val="auto"/>
          <w:szCs w:val="21"/>
          <w:highlight w:val="none"/>
          <w:lang w:val="en-US" w:eastAsia="zh-CN"/>
        </w:rPr>
        <w:t>4</w:t>
      </w:r>
      <w:r>
        <w:rPr>
          <w:rFonts w:hint="eastAsia" w:ascii="Times New Roman" w:hAnsi="Times New Roman"/>
          <w:color w:val="auto"/>
          <w:szCs w:val="21"/>
          <w:highlight w:val="none"/>
        </w:rPr>
        <w:t>乙方明确知晓：甲方通过运荔枝系统向乙方派发订单，乙方严格按照甲方在荔枝系统派发的订单进行派车和运输；凡是甲方通过任何其他方式下单，或者乙方在未接收到系统订单的情况下而派车运输的，乙方相关款项的结算将无法得到保障。</w:t>
      </w:r>
    </w:p>
    <w:p>
      <w:pPr>
        <w:spacing w:before="156" w:beforeLines="50" w:after="156" w:afterLines="50" w:line="276" w:lineRule="auto"/>
        <w:rPr>
          <w:rFonts w:ascii="Times New Roman" w:hAnsi="Times New Roman"/>
          <w:b/>
          <w:color w:val="auto"/>
          <w:szCs w:val="21"/>
          <w:highlight w:val="none"/>
        </w:rPr>
      </w:pPr>
      <w:r>
        <w:rPr>
          <w:rFonts w:ascii="Times New Roman" w:hAnsi="Times New Roman"/>
          <w:b/>
          <w:color w:val="auto"/>
          <w:szCs w:val="21"/>
          <w:highlight w:val="none"/>
        </w:rPr>
        <w:t>六、保价及理赔条款</w:t>
      </w:r>
    </w:p>
    <w:p>
      <w:pPr>
        <w:widowControl/>
        <w:spacing w:before="156" w:beforeLines="50" w:after="156" w:afterLines="50" w:line="276" w:lineRule="auto"/>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rPr>
        <w:t>乙方应为运输的货物</w:t>
      </w:r>
      <w:r>
        <w:rPr>
          <w:rFonts w:hint="eastAsia" w:ascii="Times New Roman" w:hAnsi="Times New Roman"/>
          <w:color w:val="auto"/>
          <w:szCs w:val="21"/>
          <w:highlight w:val="none"/>
          <w:lang w:val="en-US" w:eastAsia="zh-CN"/>
        </w:rPr>
        <w:t>购买保险。</w:t>
      </w:r>
      <w:r>
        <w:rPr>
          <w:rFonts w:hint="eastAsia" w:ascii="Times New Roman" w:hAnsi="Times New Roman"/>
          <w:color w:val="auto"/>
          <w:szCs w:val="21"/>
          <w:highlight w:val="none"/>
        </w:rPr>
        <w:t>但无论乙方是否实际投保，也无论乙方以何种形式投保，更无论何种原因导致的保险事故发生的，如需要保险公司或乙方赔偿甲方货物损失的，乙方均应按甲方货物的销售价格全额先赔偿给甲方。</w:t>
      </w:r>
    </w:p>
    <w:p>
      <w:pPr>
        <w:spacing w:before="156" w:beforeLines="50" w:after="156" w:afterLines="50" w:line="276" w:lineRule="auto"/>
        <w:rPr>
          <w:rFonts w:ascii="Times New Roman" w:hAnsi="Times New Roman"/>
          <w:b/>
          <w:color w:val="auto"/>
          <w:szCs w:val="21"/>
          <w:highlight w:val="none"/>
        </w:rPr>
      </w:pPr>
      <w:r>
        <w:rPr>
          <w:rFonts w:ascii="Times New Roman" w:hAnsi="Times New Roman"/>
          <w:b/>
          <w:color w:val="auto"/>
          <w:szCs w:val="21"/>
          <w:highlight w:val="none"/>
        </w:rPr>
        <w:t>七</w:t>
      </w:r>
      <w:bookmarkStart w:id="0" w:name="_Toc392595796"/>
      <w:r>
        <w:rPr>
          <w:rFonts w:ascii="Times New Roman" w:hAnsi="Times New Roman"/>
          <w:b/>
          <w:color w:val="auto"/>
          <w:szCs w:val="21"/>
          <w:highlight w:val="none"/>
        </w:rPr>
        <w:t>、保密</w:t>
      </w:r>
      <w:bookmarkEnd w:id="0"/>
    </w:p>
    <w:p>
      <w:pPr>
        <w:widowControl/>
        <w:spacing w:before="156" w:beforeLines="50" w:after="156" w:afterLines="50" w:line="276"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7.1</w:t>
      </w:r>
      <w:r>
        <w:rPr>
          <w:rFonts w:hint="eastAsia" w:ascii="Times New Roman" w:hAnsi="Times New Roman"/>
          <w:color w:val="auto"/>
          <w:szCs w:val="21"/>
          <w:highlight w:val="none"/>
        </w:rPr>
        <w:t>保密</w:t>
      </w:r>
    </w:p>
    <w:p>
      <w:pPr>
        <w:widowControl/>
        <w:spacing w:before="156" w:beforeLines="50" w:after="156" w:afterLines="50" w:line="276" w:lineRule="auto"/>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rPr>
        <w:t>除本条第</w:t>
      </w:r>
      <w:r>
        <w:rPr>
          <w:rFonts w:ascii="Times New Roman" w:hAnsi="Times New Roman"/>
          <w:color w:val="auto"/>
          <w:szCs w:val="21"/>
          <w:highlight w:val="none"/>
        </w:rPr>
        <w:t>2</w:t>
      </w:r>
      <w:r>
        <w:rPr>
          <w:rFonts w:hint="eastAsia" w:ascii="Times New Roman" w:hAnsi="Times New Roman"/>
          <w:color w:val="auto"/>
          <w:szCs w:val="21"/>
          <w:highlight w:val="none"/>
        </w:rPr>
        <w:t>款约定情形外，双方应对在本合同签订、履行过程中知晓或取得的任何无法自公开渠道获得的口头或书面资料保密，一方雇用的人员或机构对任何保密信息的披露均应被视为对该方对该等保密信息的披露。</w:t>
      </w:r>
    </w:p>
    <w:p>
      <w:pPr>
        <w:widowControl/>
        <w:spacing w:before="156" w:beforeLines="50" w:after="156" w:afterLines="50" w:line="276" w:lineRule="auto"/>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rPr>
        <w:t>7</w:t>
      </w:r>
      <w:r>
        <w:rPr>
          <w:rFonts w:ascii="Times New Roman" w:hAnsi="Times New Roman"/>
          <w:color w:val="auto"/>
          <w:szCs w:val="21"/>
          <w:highlight w:val="none"/>
        </w:rPr>
        <w:t>.2</w:t>
      </w:r>
      <w:r>
        <w:rPr>
          <w:rFonts w:hint="eastAsia" w:ascii="Times New Roman" w:hAnsi="Times New Roman"/>
          <w:color w:val="auto"/>
          <w:szCs w:val="21"/>
          <w:highlight w:val="none"/>
        </w:rPr>
        <w:t>例外情形</w:t>
      </w:r>
    </w:p>
    <w:p>
      <w:pPr>
        <w:widowControl/>
        <w:spacing w:before="156" w:beforeLines="50" w:after="156" w:afterLines="50" w:line="276" w:lineRule="auto"/>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rPr>
        <w:t>下列情形下，一方可披露保密信息：</w:t>
      </w:r>
    </w:p>
    <w:p>
      <w:pPr>
        <w:widowControl/>
        <w:spacing w:before="0" w:beforeLines="0" w:after="0" w:afterLines="0" w:line="276" w:lineRule="auto"/>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）经对方书面同意；</w:t>
      </w:r>
    </w:p>
    <w:p>
      <w:pPr>
        <w:widowControl/>
        <w:spacing w:before="0" w:beforeLines="0" w:after="0" w:afterLines="0" w:line="276" w:lineRule="auto"/>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）应任何有关管辖权的法律要求；</w:t>
      </w:r>
    </w:p>
    <w:p>
      <w:pPr>
        <w:widowControl/>
        <w:spacing w:before="0" w:beforeLines="0" w:after="0" w:afterLines="0" w:line="276" w:lineRule="auto"/>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）应任何法院、政府机构或证券交易所的要求；</w:t>
      </w:r>
    </w:p>
    <w:p>
      <w:pPr>
        <w:widowControl/>
        <w:spacing w:before="0" w:beforeLines="0" w:after="0" w:afterLines="0" w:line="276" w:lineRule="auto"/>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）非己方过错，信息已为公众所知；</w:t>
      </w:r>
      <w:r>
        <w:rPr>
          <w:rFonts w:ascii="Times New Roman" w:hAnsi="Times New Roman"/>
          <w:color w:val="auto"/>
          <w:szCs w:val="21"/>
          <w:highlight w:val="none"/>
        </w:rPr>
        <w:t xml:space="preserve"> </w:t>
      </w:r>
    </w:p>
    <w:p>
      <w:pPr>
        <w:widowControl/>
        <w:spacing w:before="0" w:beforeLines="0" w:after="0" w:afterLines="0" w:line="276" w:lineRule="auto"/>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）向己方法律顾问等专业顾问披露；</w:t>
      </w:r>
    </w:p>
    <w:p>
      <w:pPr>
        <w:widowControl/>
        <w:spacing w:before="0" w:beforeLines="0" w:after="0" w:afterLines="0" w:line="276" w:lineRule="auto"/>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rPr>
        <w:t>（6）己方并购、收购或类似交易中披露相关内容。</w:t>
      </w:r>
    </w:p>
    <w:p>
      <w:pPr>
        <w:widowControl/>
        <w:spacing w:before="156" w:beforeLines="50" w:after="156" w:afterLines="50" w:line="276"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7.3</w:t>
      </w:r>
      <w:r>
        <w:rPr>
          <w:rFonts w:hint="eastAsia" w:ascii="Times New Roman" w:hAnsi="Times New Roman"/>
          <w:color w:val="auto"/>
          <w:szCs w:val="21"/>
          <w:highlight w:val="none"/>
        </w:rPr>
        <w:t>保密期限</w:t>
      </w:r>
    </w:p>
    <w:p>
      <w:pPr>
        <w:widowControl/>
        <w:spacing w:before="156" w:beforeLines="50" w:after="156" w:afterLines="50" w:line="276" w:lineRule="auto"/>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rPr>
        <w:t>本保密条款自本合同履行完毕后2年内继续有效。</w:t>
      </w:r>
    </w:p>
    <w:p>
      <w:pPr>
        <w:spacing w:before="156" w:beforeLines="50" w:after="156" w:afterLines="50" w:line="276" w:lineRule="auto"/>
        <w:rPr>
          <w:rFonts w:ascii="Times New Roman" w:hAnsi="Times New Roman"/>
          <w:b/>
          <w:color w:val="auto"/>
          <w:szCs w:val="21"/>
          <w:highlight w:val="none"/>
        </w:rPr>
      </w:pPr>
      <w:r>
        <w:rPr>
          <w:rFonts w:ascii="Times New Roman" w:hAnsi="Times New Roman"/>
          <w:b/>
          <w:color w:val="auto"/>
          <w:szCs w:val="21"/>
          <w:highlight w:val="none"/>
        </w:rPr>
        <w:t>八、</w:t>
      </w:r>
      <w:r>
        <w:rPr>
          <w:rFonts w:hint="eastAsia" w:ascii="Times New Roman" w:hAnsi="Times New Roman"/>
          <w:b/>
          <w:color w:val="auto"/>
          <w:szCs w:val="21"/>
          <w:highlight w:val="none"/>
        </w:rPr>
        <w:t>不可抗力</w:t>
      </w:r>
    </w:p>
    <w:p>
      <w:pPr>
        <w:spacing w:before="156" w:beforeLines="50" w:after="156" w:afterLines="50" w:line="276"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8</w:t>
      </w:r>
      <w:r>
        <w:rPr>
          <w:rFonts w:ascii="Times New Roman" w:hAnsi="Times New Roman"/>
          <w:color w:val="auto"/>
          <w:szCs w:val="21"/>
          <w:highlight w:val="none"/>
        </w:rPr>
        <w:t>.1</w:t>
      </w:r>
      <w:r>
        <w:rPr>
          <w:rFonts w:hint="eastAsia" w:ascii="Times New Roman" w:hAnsi="Times New Roman"/>
          <w:color w:val="auto"/>
          <w:szCs w:val="21"/>
          <w:highlight w:val="none"/>
        </w:rPr>
        <w:t>不可抗力影响本合同的履行或使本合同不能履行的情形下，遭受不可抗力一方应立即通知对方，并应在不可抗力发生后</w:t>
      </w:r>
      <w:r>
        <w:rPr>
          <w:rFonts w:ascii="Times New Roman" w:hAnsi="Times New Roman"/>
          <w:color w:val="auto"/>
          <w:szCs w:val="21"/>
          <w:highlight w:val="none"/>
        </w:rPr>
        <w:t>15</w:t>
      </w:r>
      <w:r>
        <w:rPr>
          <w:rFonts w:hint="eastAsia" w:ascii="Times New Roman" w:hAnsi="Times New Roman"/>
          <w:color w:val="auto"/>
          <w:szCs w:val="21"/>
          <w:highlight w:val="none"/>
        </w:rPr>
        <w:t>天内提供不可抗力的详情以及证明本合同不能履行、需延期履行或只能部分履行的有效证明文件。遭受不可抗力一方应采取合理的措施，以减少不可抗力带来的影响。</w:t>
      </w:r>
    </w:p>
    <w:p>
      <w:pPr>
        <w:spacing w:before="156" w:beforeLines="50" w:after="156" w:afterLines="50" w:line="276" w:lineRule="auto"/>
        <w:ind w:firstLine="420" w:firstLineChars="200"/>
        <w:rPr>
          <w:rFonts w:ascii="Times New Roman" w:hAnsi="Times New Roman"/>
          <w:b/>
          <w:color w:val="auto"/>
          <w:szCs w:val="21"/>
          <w:highlight w:val="none"/>
        </w:rPr>
      </w:pPr>
      <w:r>
        <w:rPr>
          <w:rFonts w:hint="eastAsia" w:ascii="Times New Roman" w:hAnsi="Times New Roman"/>
          <w:color w:val="auto"/>
          <w:szCs w:val="21"/>
          <w:highlight w:val="none"/>
        </w:rPr>
        <w:t>8</w:t>
      </w:r>
      <w:r>
        <w:rPr>
          <w:rFonts w:ascii="Times New Roman" w:hAnsi="Times New Roman"/>
          <w:color w:val="auto"/>
          <w:szCs w:val="21"/>
          <w:highlight w:val="none"/>
        </w:rPr>
        <w:t>.2</w:t>
      </w:r>
      <w:r>
        <w:rPr>
          <w:rFonts w:hint="eastAsia" w:ascii="Times New Roman" w:hAnsi="Times New Roman"/>
          <w:color w:val="auto"/>
          <w:szCs w:val="21"/>
          <w:highlight w:val="none"/>
        </w:rPr>
        <w:t>上款所称“不可抗力”指不能预见、不能避免或不能克服的客观事件，包括但不限于自然灾害，包括但不限于洪水、火灾、爆炸、雷电、地震和风暴，以及社会事件，包括但不限于基础电信运营商网络出现严重电力或网络故障，以及战争、动乱、政府行为、国家政策的突然变动和罢工。</w:t>
      </w:r>
    </w:p>
    <w:p>
      <w:pPr>
        <w:spacing w:before="156" w:beforeLines="50" w:after="156" w:afterLines="50" w:line="276" w:lineRule="auto"/>
        <w:rPr>
          <w:rFonts w:ascii="Times New Roman" w:hAnsi="Times New Roman"/>
          <w:b/>
          <w:color w:val="auto"/>
          <w:szCs w:val="21"/>
          <w:highlight w:val="none"/>
        </w:rPr>
      </w:pPr>
      <w:r>
        <w:rPr>
          <w:rFonts w:hint="eastAsia" w:ascii="Times New Roman" w:hAnsi="Times New Roman"/>
          <w:b/>
          <w:color w:val="auto"/>
          <w:szCs w:val="21"/>
          <w:highlight w:val="none"/>
        </w:rPr>
        <w:t>九、</w:t>
      </w:r>
      <w:r>
        <w:rPr>
          <w:rFonts w:ascii="Times New Roman" w:hAnsi="Times New Roman"/>
          <w:b/>
          <w:color w:val="auto"/>
          <w:szCs w:val="21"/>
          <w:highlight w:val="none"/>
        </w:rPr>
        <w:t>合同</w:t>
      </w:r>
      <w:r>
        <w:rPr>
          <w:rFonts w:hint="eastAsia" w:ascii="Times New Roman" w:hAnsi="Times New Roman"/>
          <w:b/>
          <w:color w:val="auto"/>
          <w:szCs w:val="21"/>
          <w:highlight w:val="none"/>
        </w:rPr>
        <w:t>有效期</w:t>
      </w:r>
      <w:r>
        <w:rPr>
          <w:rFonts w:ascii="Times New Roman" w:hAnsi="Times New Roman"/>
          <w:b/>
          <w:color w:val="auto"/>
          <w:szCs w:val="21"/>
          <w:highlight w:val="none"/>
        </w:rPr>
        <w:t>、解除与终止</w:t>
      </w:r>
    </w:p>
    <w:p>
      <w:pPr>
        <w:widowControl/>
        <w:spacing w:before="156" w:beforeLines="50" w:after="156" w:afterLines="50" w:line="276"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9.1本合同有效期限</w:t>
      </w:r>
      <w:r>
        <w:rPr>
          <w:rFonts w:hint="eastAsia" w:ascii="Times New Roman" w:hAnsi="Times New Roman"/>
          <w:color w:val="auto"/>
          <w:szCs w:val="21"/>
          <w:highlight w:val="none"/>
        </w:rPr>
        <w:t>自</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lang w:val="en-US" w:eastAsia="zh-CN"/>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年</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lang w:val="en-US" w:eastAsia="zh-CN"/>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月</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lang w:val="en-US" w:eastAsia="zh-CN"/>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日起</w:t>
      </w:r>
      <w:r>
        <w:rPr>
          <w:rFonts w:hint="eastAsia" w:ascii="Times New Roman" w:hAnsi="Times New Roman"/>
          <w:color w:val="auto"/>
          <w:szCs w:val="21"/>
          <w:highlight w:val="none"/>
        </w:rPr>
        <w:t>至</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年</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lang w:val="en-US" w:eastAsia="zh-CN"/>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月</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lang w:val="en-US" w:eastAsia="zh-CN"/>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日止</w:t>
      </w:r>
      <w:r>
        <w:rPr>
          <w:rFonts w:hint="eastAsia" w:ascii="Times New Roman" w:hAnsi="Times New Roman"/>
          <w:color w:val="auto"/>
          <w:szCs w:val="21"/>
          <w:highlight w:val="none"/>
        </w:rPr>
        <w:t>。</w:t>
      </w:r>
    </w:p>
    <w:p>
      <w:pPr>
        <w:widowControl/>
        <w:spacing w:before="156" w:beforeLines="50" w:after="156" w:afterLines="50" w:line="276"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9.2本合同期限届满后，双方若未能就续约事宜达成一致，</w:t>
      </w:r>
      <w:r>
        <w:rPr>
          <w:rFonts w:hint="eastAsia" w:ascii="Times New Roman" w:hAnsi="Times New Roman"/>
          <w:bCs/>
          <w:color w:val="auto"/>
          <w:szCs w:val="21"/>
          <w:highlight w:val="none"/>
        </w:rPr>
        <w:t>本合同终止；若双方就续约事宜达成一致，双方应重新签订运输服务合同</w:t>
      </w:r>
      <w:r>
        <w:rPr>
          <w:rFonts w:hint="eastAsia" w:ascii="Times New Roman" w:hAnsi="Times New Roman"/>
          <w:color w:val="auto"/>
          <w:szCs w:val="21"/>
          <w:highlight w:val="none"/>
        </w:rPr>
        <w:t>。</w:t>
      </w:r>
    </w:p>
    <w:p>
      <w:pPr>
        <w:widowControl/>
        <w:spacing w:before="156" w:beforeLines="50" w:after="156" w:afterLines="50" w:line="276" w:lineRule="auto"/>
        <w:ind w:firstLine="420" w:firstLineChars="200"/>
        <w:jc w:val="left"/>
        <w:rPr>
          <w:rFonts w:ascii="Times New Roman" w:hAnsi="Times New Roman"/>
          <w:color w:val="auto"/>
          <w:szCs w:val="21"/>
          <w:highlight w:val="none"/>
        </w:rPr>
      </w:pPr>
      <w:r>
        <w:rPr>
          <w:rFonts w:ascii="Times New Roman" w:hAnsi="Times New Roman"/>
          <w:bCs/>
          <w:color w:val="auto"/>
          <w:szCs w:val="21"/>
          <w:highlight w:val="none"/>
        </w:rPr>
        <w:t>9.3</w:t>
      </w:r>
      <w:r>
        <w:rPr>
          <w:rFonts w:ascii="Times New Roman" w:hAnsi="Times New Roman"/>
          <w:color w:val="auto"/>
          <w:szCs w:val="21"/>
          <w:highlight w:val="none"/>
        </w:rPr>
        <w:t>若</w:t>
      </w:r>
      <w:r>
        <w:rPr>
          <w:rFonts w:hint="eastAsia" w:ascii="Times New Roman" w:hAnsi="Times New Roman"/>
          <w:color w:val="auto"/>
          <w:szCs w:val="21"/>
          <w:highlight w:val="none"/>
        </w:rPr>
        <w:t>乙方主动要求提前终止本合同的，需提前[1]个月向甲方提出书面申请，甲方同意且找到第三方承运商或服务商接替后本合同方可提前终止。处理方式: 甲方邀请第三方承运商或服务商进行议标以接替乙方的承运线路或仓储服务，在新的第三方承运商或服务商确定前，该承运线路或仓储服务仍由乙方按照本合同约定运作。若乙方在未经甲方同意或未在新的承运方确定前就终止合同的，乙方应承担甲方因此聘请第三方的运输费用、客户投诉、货物受损、罚款等损失，并按照该损失金额的30%承担违约金。</w:t>
      </w:r>
    </w:p>
    <w:p>
      <w:pPr>
        <w:widowControl/>
        <w:spacing w:before="156" w:beforeLines="50" w:after="156" w:afterLines="50" w:line="276" w:lineRule="auto"/>
        <w:ind w:firstLine="420" w:firstLineChars="200"/>
        <w:jc w:val="left"/>
        <w:rPr>
          <w:rFonts w:hint="eastAsia" w:ascii="Times New Roman" w:hAnsi="Times New Roman"/>
          <w:color w:val="auto"/>
          <w:szCs w:val="21"/>
          <w:highlight w:val="none"/>
          <w:lang w:eastAsia="zh-CN"/>
        </w:rPr>
      </w:pPr>
      <w:r>
        <w:rPr>
          <w:rFonts w:ascii="Times New Roman" w:hAnsi="Times New Roman"/>
          <w:color w:val="auto"/>
          <w:szCs w:val="21"/>
          <w:highlight w:val="none"/>
        </w:rPr>
        <w:t>9.4</w:t>
      </w:r>
      <w:r>
        <w:rPr>
          <w:rFonts w:hint="eastAsia" w:ascii="Times New Roman" w:hAnsi="Times New Roman"/>
          <w:color w:val="auto"/>
          <w:szCs w:val="21"/>
          <w:highlight w:val="none"/>
          <w:lang w:val="en-US" w:eastAsia="zh-CN"/>
        </w:rPr>
        <w:t xml:space="preserve"> </w:t>
      </w:r>
      <w:r>
        <w:rPr>
          <w:rFonts w:ascii="Times New Roman" w:hAnsi="Times New Roman"/>
          <w:color w:val="auto"/>
          <w:szCs w:val="21"/>
          <w:highlight w:val="none"/>
        </w:rPr>
        <w:t>如甲乙任一方提交破产申请，或甲乙任一方被</w:t>
      </w:r>
      <w:r>
        <w:rPr>
          <w:rFonts w:hint="eastAsia" w:ascii="Times New Roman" w:hAnsi="Times New Roman"/>
          <w:color w:val="auto"/>
          <w:szCs w:val="21"/>
          <w:highlight w:val="none"/>
        </w:rPr>
        <w:t>法院裁定受理</w:t>
      </w:r>
      <w:r>
        <w:rPr>
          <w:rFonts w:ascii="Times New Roman" w:hAnsi="Times New Roman"/>
          <w:color w:val="auto"/>
          <w:szCs w:val="21"/>
          <w:highlight w:val="none"/>
        </w:rPr>
        <w:t>破产</w:t>
      </w:r>
      <w:r>
        <w:rPr>
          <w:rFonts w:hint="eastAsia" w:ascii="Times New Roman" w:hAnsi="Times New Roman"/>
          <w:color w:val="auto"/>
          <w:szCs w:val="21"/>
          <w:highlight w:val="none"/>
        </w:rPr>
        <w:t>申请</w:t>
      </w:r>
      <w:r>
        <w:rPr>
          <w:rFonts w:ascii="Times New Roman" w:hAnsi="Times New Roman"/>
          <w:color w:val="auto"/>
          <w:szCs w:val="21"/>
          <w:highlight w:val="none"/>
        </w:rPr>
        <w:t>，对方可以书面通知破产方后立即终止</w:t>
      </w:r>
      <w:r>
        <w:rPr>
          <w:rFonts w:hint="eastAsia" w:ascii="Times New Roman" w:hAnsi="Times New Roman"/>
          <w:color w:val="auto"/>
          <w:szCs w:val="21"/>
          <w:highlight w:val="none"/>
        </w:rPr>
        <w:t>本合同</w:t>
      </w:r>
      <w:r>
        <w:rPr>
          <w:rFonts w:hint="eastAsia" w:ascii="Times New Roman" w:hAnsi="Times New Roman"/>
          <w:color w:val="auto"/>
          <w:szCs w:val="21"/>
          <w:highlight w:val="none"/>
          <w:lang w:eastAsia="zh-CN"/>
        </w:rPr>
        <w:t>。</w:t>
      </w:r>
    </w:p>
    <w:p>
      <w:pPr>
        <w:widowControl/>
        <w:spacing w:before="156" w:beforeLines="50" w:after="156" w:afterLines="50" w:line="276" w:lineRule="auto"/>
        <w:ind w:firstLine="420" w:firstLineChars="200"/>
        <w:jc w:val="left"/>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9.5 出现下列情形之一的，甲方有权解除本合同，且甲方无需承担任何违约责任：</w:t>
      </w:r>
    </w:p>
    <w:p>
      <w:pPr>
        <w:widowControl/>
        <w:spacing w:before="156" w:beforeLines="50" w:after="156" w:afterLines="50" w:line="276" w:lineRule="auto"/>
        <w:ind w:firstLine="420" w:firstLineChars="200"/>
        <w:jc w:val="left"/>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9.5.1 乙方月度日常考核得分连续2个月低于70分；</w:t>
      </w:r>
    </w:p>
    <w:p>
      <w:pPr>
        <w:widowControl/>
        <w:spacing w:before="156" w:beforeLines="50" w:after="156" w:afterLines="50" w:line="276" w:lineRule="auto"/>
        <w:ind w:firstLine="420" w:firstLineChars="200"/>
        <w:jc w:val="left"/>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9.5.2 乙方承运的单一线路被客户投诉超3次/月；</w:t>
      </w:r>
    </w:p>
    <w:p>
      <w:pPr>
        <w:widowControl/>
        <w:spacing w:before="156" w:beforeLines="50" w:after="156" w:afterLines="50" w:line="276" w:lineRule="auto"/>
        <w:ind w:firstLine="420" w:firstLineChars="200"/>
        <w:jc w:val="left"/>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9.5.3 本合同约定合作线路（不含临时紧急加车线路）乙方无车辆执行或没有派出应急车辆的次数达到3次（含）以上，乙方运输保障能力不足。</w:t>
      </w:r>
    </w:p>
    <w:p>
      <w:pPr>
        <w:widowControl/>
        <w:spacing w:before="156" w:beforeLines="50" w:after="156" w:afterLines="50" w:line="276" w:lineRule="auto"/>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lang w:val="en-US" w:eastAsia="zh-CN"/>
        </w:rPr>
        <w:t>9.5.4 乙方承运车辆或司机经甲方检查达不到合作要求达3次（含）以上</w:t>
      </w:r>
      <w:r>
        <w:rPr>
          <w:rFonts w:ascii="Times New Roman" w:hAnsi="Times New Roman"/>
          <w:color w:val="auto"/>
          <w:szCs w:val="21"/>
          <w:highlight w:val="none"/>
        </w:rPr>
        <w:t>。</w:t>
      </w:r>
    </w:p>
    <w:p>
      <w:pPr>
        <w:widowControl/>
        <w:spacing w:before="156" w:beforeLines="50" w:after="156" w:afterLines="50" w:line="276"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9.6除本</w:t>
      </w:r>
      <w:r>
        <w:rPr>
          <w:rFonts w:hint="eastAsia" w:ascii="Times New Roman" w:hAnsi="Times New Roman"/>
          <w:color w:val="auto"/>
          <w:szCs w:val="21"/>
          <w:highlight w:val="none"/>
        </w:rPr>
        <w:t>合同</w:t>
      </w:r>
      <w:r>
        <w:rPr>
          <w:rFonts w:ascii="Times New Roman" w:hAnsi="Times New Roman"/>
          <w:color w:val="auto"/>
          <w:szCs w:val="21"/>
          <w:highlight w:val="none"/>
        </w:rPr>
        <w:t>明确约定的</w:t>
      </w:r>
      <w:r>
        <w:rPr>
          <w:rFonts w:hint="eastAsia" w:ascii="Times New Roman" w:hAnsi="Times New Roman"/>
          <w:color w:val="auto"/>
          <w:szCs w:val="21"/>
          <w:highlight w:val="none"/>
        </w:rPr>
        <w:t>解除及</w:t>
      </w:r>
      <w:r>
        <w:rPr>
          <w:rFonts w:ascii="Times New Roman" w:hAnsi="Times New Roman"/>
          <w:color w:val="auto"/>
          <w:szCs w:val="21"/>
          <w:highlight w:val="none"/>
        </w:rPr>
        <w:t>终止</w:t>
      </w:r>
      <w:r>
        <w:rPr>
          <w:rFonts w:hint="eastAsia" w:ascii="Times New Roman" w:hAnsi="Times New Roman"/>
          <w:color w:val="auto"/>
          <w:szCs w:val="21"/>
          <w:highlight w:val="none"/>
        </w:rPr>
        <w:t>情形</w:t>
      </w:r>
      <w:r>
        <w:rPr>
          <w:rFonts w:ascii="Times New Roman" w:hAnsi="Times New Roman"/>
          <w:color w:val="auto"/>
          <w:szCs w:val="21"/>
          <w:highlight w:val="none"/>
        </w:rPr>
        <w:t>及《中华人民共和国</w:t>
      </w:r>
      <w:r>
        <w:rPr>
          <w:rFonts w:hint="eastAsia" w:ascii="Times New Roman" w:hAnsi="Times New Roman"/>
          <w:color w:val="auto"/>
          <w:szCs w:val="21"/>
          <w:highlight w:val="none"/>
          <w:lang w:val="en-US" w:eastAsia="zh-CN"/>
        </w:rPr>
        <w:t>民法典</w:t>
      </w:r>
      <w:r>
        <w:rPr>
          <w:rFonts w:ascii="Times New Roman" w:hAnsi="Times New Roman"/>
          <w:color w:val="auto"/>
          <w:szCs w:val="21"/>
          <w:highlight w:val="none"/>
        </w:rPr>
        <w:t>》明确规定合同终止的情形外，任何单方面终止本</w:t>
      </w:r>
      <w:r>
        <w:rPr>
          <w:rFonts w:hint="eastAsia" w:ascii="Times New Roman" w:hAnsi="Times New Roman"/>
          <w:color w:val="auto"/>
          <w:szCs w:val="21"/>
          <w:highlight w:val="none"/>
        </w:rPr>
        <w:t>合同</w:t>
      </w:r>
      <w:r>
        <w:rPr>
          <w:rFonts w:ascii="Times New Roman" w:hAnsi="Times New Roman"/>
          <w:color w:val="auto"/>
          <w:szCs w:val="21"/>
          <w:highlight w:val="none"/>
        </w:rPr>
        <w:t>皆视为违约。违约方应向</w:t>
      </w:r>
      <w:r>
        <w:rPr>
          <w:rFonts w:hint="eastAsia" w:ascii="Times New Roman" w:hAnsi="Times New Roman"/>
          <w:color w:val="auto"/>
          <w:szCs w:val="21"/>
          <w:highlight w:val="none"/>
        </w:rPr>
        <w:t>守约</w:t>
      </w:r>
      <w:r>
        <w:rPr>
          <w:rFonts w:ascii="Times New Roman" w:hAnsi="Times New Roman"/>
          <w:color w:val="auto"/>
          <w:szCs w:val="21"/>
          <w:highlight w:val="none"/>
        </w:rPr>
        <w:t>方赔偿因</w:t>
      </w:r>
      <w:r>
        <w:rPr>
          <w:rFonts w:hint="eastAsia" w:ascii="Times New Roman" w:hAnsi="Times New Roman"/>
          <w:color w:val="auto"/>
          <w:szCs w:val="21"/>
          <w:highlight w:val="none"/>
        </w:rPr>
        <w:t>本合同</w:t>
      </w:r>
      <w:r>
        <w:rPr>
          <w:rFonts w:ascii="Times New Roman" w:hAnsi="Times New Roman"/>
          <w:color w:val="auto"/>
          <w:szCs w:val="21"/>
          <w:highlight w:val="none"/>
        </w:rPr>
        <w:t>提前终止而遭受的全部经济损失。</w:t>
      </w:r>
    </w:p>
    <w:p>
      <w:pPr>
        <w:spacing w:before="156" w:beforeLines="50" w:after="156" w:afterLines="50" w:line="276" w:lineRule="auto"/>
        <w:rPr>
          <w:rFonts w:ascii="Times New Roman" w:hAnsi="Times New Roman"/>
          <w:b/>
          <w:color w:val="auto"/>
          <w:szCs w:val="21"/>
          <w:highlight w:val="none"/>
        </w:rPr>
      </w:pPr>
      <w:r>
        <w:rPr>
          <w:rFonts w:hint="eastAsia" w:ascii="Times New Roman" w:hAnsi="Times New Roman"/>
          <w:b/>
          <w:color w:val="auto"/>
          <w:szCs w:val="21"/>
          <w:highlight w:val="none"/>
        </w:rPr>
        <w:t>十</w:t>
      </w:r>
      <w:r>
        <w:rPr>
          <w:rFonts w:ascii="Times New Roman" w:hAnsi="Times New Roman"/>
          <w:b/>
          <w:color w:val="auto"/>
          <w:szCs w:val="21"/>
          <w:highlight w:val="none"/>
        </w:rPr>
        <w:t>、价格调整机制</w:t>
      </w:r>
    </w:p>
    <w:p>
      <w:pPr>
        <w:widowControl/>
        <w:spacing w:before="156" w:beforeLines="50" w:after="156" w:afterLines="50" w:line="276"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双方一致认为，双方合同约定的运输价格是以年初国家规定的柴油价格为基准，在合同的有效期内，若国家（以国家发改委通知为基准）调整0#柴油价格超过10 %，甲方按照以下标准对乙方进行运费补贴：</w:t>
      </w:r>
    </w:p>
    <w:p>
      <w:pPr>
        <w:widowControl/>
        <w:spacing w:before="156" w:beforeLines="50" w:after="156" w:afterLines="50" w:line="276"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运费补贴=基准价格*（新0#柴油价格-0#价格基准价）/0#柴油基准价*35%</w:t>
      </w:r>
    </w:p>
    <w:p>
      <w:pPr>
        <w:widowControl/>
        <w:spacing w:before="156" w:beforeLines="50" w:after="156" w:afterLines="50" w:line="276" w:lineRule="auto"/>
        <w:ind w:firstLine="422" w:firstLineChars="200"/>
        <w:jc w:val="left"/>
        <w:rPr>
          <w:rFonts w:ascii="Times New Roman" w:hAnsi="Times New Roman"/>
          <w:b/>
          <w:color w:val="auto"/>
          <w:szCs w:val="21"/>
          <w:highlight w:val="none"/>
        </w:rPr>
      </w:pPr>
      <w:r>
        <w:rPr>
          <w:rFonts w:hint="eastAsia" w:ascii="Times New Roman" w:hAnsi="Times New Roman"/>
          <w:b/>
          <w:color w:val="auto"/>
          <w:szCs w:val="21"/>
          <w:highlight w:val="none"/>
        </w:rPr>
        <w:t>十一、适用法律与争议解决</w:t>
      </w:r>
    </w:p>
    <w:p>
      <w:pPr>
        <w:widowControl/>
        <w:spacing w:before="156" w:beforeLines="50" w:after="156" w:afterLines="50" w:line="276" w:lineRule="auto"/>
        <w:ind w:left="480"/>
        <w:jc w:val="left"/>
        <w:rPr>
          <w:rFonts w:ascii="Times New Roman" w:hAnsi="Times New Roman" w:eastAsiaTheme="minorEastAsia"/>
          <w:color w:val="auto"/>
          <w:szCs w:val="21"/>
          <w:highlight w:val="none"/>
        </w:rPr>
      </w:pPr>
      <w:r>
        <w:rPr>
          <w:rFonts w:hint="eastAsia" w:ascii="Times New Roman" w:hAnsi="Times New Roman" w:eastAsiaTheme="minorEastAsia"/>
          <w:color w:val="auto"/>
          <w:szCs w:val="21"/>
          <w:highlight w:val="none"/>
        </w:rPr>
        <w:t>1</w:t>
      </w:r>
      <w:r>
        <w:rPr>
          <w:rFonts w:ascii="Times New Roman" w:hAnsi="Times New Roman" w:eastAsiaTheme="minorEastAsia"/>
          <w:color w:val="auto"/>
          <w:szCs w:val="21"/>
          <w:highlight w:val="none"/>
        </w:rPr>
        <w:t>1.1</w:t>
      </w:r>
      <w:r>
        <w:rPr>
          <w:rFonts w:hint="eastAsia" w:ascii="Times New Roman" w:hAnsi="Times New Roman" w:eastAsiaTheme="minorEastAsia"/>
          <w:color w:val="auto"/>
          <w:szCs w:val="21"/>
          <w:highlight w:val="none"/>
        </w:rPr>
        <w:t>适用法律</w:t>
      </w:r>
    </w:p>
    <w:p>
      <w:pPr>
        <w:widowControl/>
        <w:spacing w:before="156" w:beforeLines="50" w:after="156" w:afterLines="50" w:line="276" w:lineRule="auto"/>
        <w:ind w:left="15" w:leftChars="7" w:firstLine="420" w:firstLineChars="200"/>
        <w:jc w:val="left"/>
        <w:rPr>
          <w:rFonts w:ascii="Times New Roman" w:hAnsi="Times New Roman" w:eastAsiaTheme="minorEastAsia"/>
          <w:color w:val="auto"/>
          <w:szCs w:val="21"/>
          <w:highlight w:val="none"/>
        </w:rPr>
      </w:pPr>
      <w:r>
        <w:rPr>
          <w:rFonts w:hint="eastAsia" w:ascii="Times New Roman" w:hAnsi="Times New Roman" w:eastAsiaTheme="minorEastAsia"/>
          <w:color w:val="auto"/>
          <w:szCs w:val="21"/>
          <w:highlight w:val="none"/>
        </w:rPr>
        <w:t>本合同的成立、解释、履行、修订和终止以及争议解决应适用中国法律。</w:t>
      </w:r>
    </w:p>
    <w:p>
      <w:pPr>
        <w:widowControl/>
        <w:spacing w:before="156" w:beforeLines="50" w:after="156" w:afterLines="50" w:line="276" w:lineRule="auto"/>
        <w:ind w:left="495"/>
        <w:jc w:val="left"/>
        <w:rPr>
          <w:rFonts w:ascii="Times New Roman" w:hAnsi="Times New Roman" w:eastAsiaTheme="minorEastAsia"/>
          <w:color w:val="auto"/>
          <w:szCs w:val="21"/>
          <w:highlight w:val="none"/>
        </w:rPr>
      </w:pPr>
      <w:r>
        <w:rPr>
          <w:rFonts w:hint="eastAsia" w:ascii="Times New Roman" w:hAnsi="Times New Roman" w:eastAsiaTheme="minorEastAsia"/>
          <w:color w:val="auto"/>
          <w:szCs w:val="21"/>
          <w:highlight w:val="none"/>
        </w:rPr>
        <w:t>1</w:t>
      </w:r>
      <w:r>
        <w:rPr>
          <w:rFonts w:ascii="Times New Roman" w:hAnsi="Times New Roman" w:eastAsiaTheme="minorEastAsia"/>
          <w:color w:val="auto"/>
          <w:szCs w:val="21"/>
          <w:highlight w:val="none"/>
        </w:rPr>
        <w:t>1.2</w:t>
      </w:r>
      <w:r>
        <w:rPr>
          <w:rFonts w:hint="eastAsia" w:ascii="Times New Roman" w:hAnsi="Times New Roman" w:eastAsiaTheme="minorEastAsia"/>
          <w:color w:val="auto"/>
          <w:szCs w:val="21"/>
          <w:highlight w:val="none"/>
        </w:rPr>
        <w:t>争议解决</w:t>
      </w:r>
    </w:p>
    <w:p>
      <w:pPr>
        <w:widowControl/>
        <w:spacing w:before="156" w:beforeLines="50" w:after="156" w:afterLines="50" w:line="276" w:lineRule="auto"/>
        <w:ind w:firstLine="420" w:firstLineChars="200"/>
        <w:jc w:val="left"/>
        <w:rPr>
          <w:rFonts w:ascii="Times New Roman" w:hAnsi="Times New Roman"/>
          <w:color w:val="auto"/>
          <w:szCs w:val="21"/>
          <w:highlight w:val="none"/>
        </w:rPr>
      </w:pPr>
      <w:r>
        <w:rPr>
          <w:rFonts w:ascii="Times New Roman" w:hAnsi="Times New Roman" w:eastAsiaTheme="minorEastAsia"/>
          <w:color w:val="auto"/>
          <w:szCs w:val="21"/>
          <w:highlight w:val="none"/>
        </w:rPr>
        <w:t>凡因本合同引起的或与本合同有关的任何争议，双方应当友好协商解决，</w:t>
      </w:r>
      <w:r>
        <w:rPr>
          <w:rFonts w:hint="eastAsia" w:ascii="Times New Roman" w:hAnsi="Times New Roman" w:eastAsiaTheme="minorEastAsia"/>
          <w:color w:val="auto"/>
          <w:szCs w:val="21"/>
          <w:highlight w:val="none"/>
        </w:rPr>
        <w:t>如果争议于协商开始后</w:t>
      </w:r>
      <w:r>
        <w:rPr>
          <w:rFonts w:ascii="Times New Roman" w:hAnsi="Times New Roman" w:eastAsiaTheme="minorEastAsia"/>
          <w:color w:val="auto"/>
          <w:szCs w:val="21"/>
          <w:highlight w:val="none"/>
        </w:rPr>
        <w:t>30</w:t>
      </w:r>
      <w:r>
        <w:rPr>
          <w:rFonts w:hint="eastAsia" w:ascii="Times New Roman" w:hAnsi="Times New Roman" w:eastAsiaTheme="minorEastAsia"/>
          <w:color w:val="auto"/>
          <w:szCs w:val="21"/>
          <w:highlight w:val="none"/>
        </w:rPr>
        <w:t>日内未能解决，</w:t>
      </w:r>
      <w:r>
        <w:rPr>
          <w:rFonts w:ascii="Times New Roman" w:hAnsi="Times New Roman" w:eastAsiaTheme="minorEastAsia"/>
          <w:color w:val="auto"/>
          <w:szCs w:val="21"/>
          <w:highlight w:val="none"/>
        </w:rPr>
        <w:t>双方有权向甲方所在地有管辖权的人民法院提起诉讼。</w:t>
      </w:r>
    </w:p>
    <w:p>
      <w:pPr>
        <w:widowControl/>
        <w:spacing w:before="156" w:beforeLines="50" w:after="156" w:afterLines="50" w:line="276" w:lineRule="auto"/>
        <w:ind w:firstLine="422" w:firstLineChars="200"/>
        <w:jc w:val="left"/>
        <w:rPr>
          <w:rFonts w:ascii="Times New Roman" w:hAnsi="Times New Roman"/>
          <w:b/>
          <w:color w:val="auto"/>
          <w:szCs w:val="21"/>
          <w:highlight w:val="none"/>
        </w:rPr>
      </w:pPr>
      <w:r>
        <w:rPr>
          <w:rFonts w:hint="eastAsia" w:ascii="Times New Roman" w:hAnsi="Times New Roman"/>
          <w:b/>
          <w:color w:val="auto"/>
          <w:szCs w:val="21"/>
          <w:highlight w:val="none"/>
        </w:rPr>
        <w:t>十二、其他约定</w:t>
      </w:r>
    </w:p>
    <w:p>
      <w:pPr>
        <w:widowControl/>
        <w:spacing w:before="156" w:beforeLines="50" w:after="156" w:afterLines="50" w:line="276" w:lineRule="auto"/>
        <w:ind w:firstLine="420" w:firstLineChars="200"/>
        <w:jc w:val="left"/>
        <w:rPr>
          <w:rFonts w:ascii="Times New Roman" w:hAnsi="Times New Roman" w:eastAsiaTheme="minorEastAsia"/>
          <w:color w:val="auto"/>
          <w:szCs w:val="21"/>
          <w:highlight w:val="none"/>
        </w:rPr>
      </w:pPr>
      <w:r>
        <w:rPr>
          <w:rFonts w:ascii="Times New Roman" w:hAnsi="Times New Roman"/>
          <w:color w:val="auto"/>
          <w:szCs w:val="21"/>
          <w:highlight w:val="none"/>
        </w:rPr>
        <w:t>12.1</w:t>
      </w:r>
      <w:r>
        <w:rPr>
          <w:rFonts w:ascii="Times New Roman" w:hAnsi="Times New Roman" w:eastAsiaTheme="minorEastAsia"/>
          <w:color w:val="auto"/>
          <w:szCs w:val="21"/>
          <w:highlight w:val="none"/>
        </w:rPr>
        <w:t>本合同</w:t>
      </w:r>
      <w:r>
        <w:rPr>
          <w:rFonts w:hint="eastAsia" w:ascii="Times New Roman" w:hAnsi="Times New Roman" w:eastAsiaTheme="minorEastAsia"/>
          <w:color w:val="auto"/>
          <w:szCs w:val="21"/>
          <w:highlight w:val="none"/>
        </w:rPr>
        <w:t>项下一切文件资料、</w:t>
      </w:r>
      <w:r>
        <w:rPr>
          <w:rFonts w:ascii="Times New Roman" w:hAnsi="Times New Roman" w:eastAsiaTheme="minorEastAsia"/>
          <w:color w:val="auto"/>
          <w:szCs w:val="21"/>
          <w:highlight w:val="none"/>
        </w:rPr>
        <w:t>通知</w:t>
      </w:r>
      <w:r>
        <w:rPr>
          <w:rFonts w:hint="eastAsia" w:ascii="Times New Roman" w:hAnsi="Times New Roman" w:eastAsiaTheme="minorEastAsia"/>
          <w:color w:val="auto"/>
          <w:szCs w:val="21"/>
          <w:highlight w:val="none"/>
        </w:rPr>
        <w:t>或权利主张等</w:t>
      </w:r>
      <w:r>
        <w:rPr>
          <w:rFonts w:ascii="Times New Roman" w:hAnsi="Times New Roman" w:eastAsiaTheme="minorEastAsia"/>
          <w:color w:val="auto"/>
          <w:szCs w:val="21"/>
          <w:highlight w:val="none"/>
        </w:rPr>
        <w:t>均按下述地址</w:t>
      </w:r>
      <w:r>
        <w:rPr>
          <w:rFonts w:hint="eastAsia" w:ascii="Times New Roman" w:hAnsi="Times New Roman" w:eastAsiaTheme="minorEastAsia"/>
          <w:color w:val="auto"/>
          <w:szCs w:val="21"/>
          <w:highlight w:val="none"/>
        </w:rPr>
        <w:t>进行送达</w:t>
      </w:r>
      <w:r>
        <w:rPr>
          <w:rFonts w:ascii="Times New Roman" w:hAnsi="Times New Roman" w:eastAsiaTheme="minorEastAsia"/>
          <w:color w:val="auto"/>
          <w:szCs w:val="21"/>
          <w:highlight w:val="none"/>
        </w:rPr>
        <w:t>：</w:t>
      </w:r>
    </w:p>
    <w:p>
      <w:pPr>
        <w:widowControl/>
        <w:spacing w:before="0" w:beforeLines="0" w:after="0" w:afterLines="0" w:line="276" w:lineRule="auto"/>
        <w:ind w:left="15" w:leftChars="7" w:firstLine="420" w:firstLineChars="200"/>
        <w:jc w:val="left"/>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 xml:space="preserve">甲方地址： </w:t>
      </w:r>
      <w:r>
        <w:rPr>
          <w:rFonts w:ascii="Times New Roman" w:hAnsi="Times New Roman" w:eastAsiaTheme="minorEastAsia"/>
          <w:color w:val="auto"/>
          <w:szCs w:val="21"/>
          <w:highlight w:val="none"/>
          <w:u w:val="single"/>
        </w:rPr>
        <w:t xml:space="preserve">   </w:t>
      </w:r>
      <w:r>
        <w:rPr>
          <w:rFonts w:hint="eastAsia" w:ascii="Times New Roman" w:hAnsi="Times New Roman" w:eastAsiaTheme="minorEastAsia"/>
          <w:color w:val="auto"/>
          <w:szCs w:val="21"/>
          <w:highlight w:val="none"/>
          <w:u w:val="single"/>
          <w:lang w:val="en-US" w:eastAsia="zh-CN"/>
        </w:rPr>
        <w:t xml:space="preserve">                           </w:t>
      </w:r>
      <w:bookmarkStart w:id="1" w:name="_GoBack"/>
      <w:bookmarkEnd w:id="1"/>
      <w:r>
        <w:rPr>
          <w:rFonts w:hint="eastAsia" w:ascii="Times New Roman" w:hAnsi="Times New Roman" w:eastAsiaTheme="minorEastAsia"/>
          <w:color w:val="auto"/>
          <w:szCs w:val="21"/>
          <w:highlight w:val="none"/>
          <w:u w:val="single"/>
          <w:lang w:val="en-US" w:eastAsia="zh-CN"/>
        </w:rPr>
        <w:t xml:space="preserve">         </w:t>
      </w:r>
      <w:r>
        <w:rPr>
          <w:rFonts w:ascii="Times New Roman" w:hAnsi="Times New Roman" w:eastAsiaTheme="minorEastAsia"/>
          <w:color w:val="auto"/>
          <w:szCs w:val="21"/>
          <w:highlight w:val="none"/>
          <w:u w:val="single"/>
        </w:rPr>
        <w:t xml:space="preserve">  </w:t>
      </w:r>
      <w:r>
        <w:rPr>
          <w:rFonts w:ascii="Times New Roman" w:hAnsi="Times New Roman" w:eastAsiaTheme="minorEastAsia"/>
          <w:color w:val="auto"/>
          <w:szCs w:val="21"/>
          <w:highlight w:val="none"/>
        </w:rPr>
        <w:t xml:space="preserve">  </w:t>
      </w:r>
    </w:p>
    <w:p>
      <w:pPr>
        <w:widowControl/>
        <w:spacing w:before="0" w:beforeLines="0" w:after="0" w:afterLines="0" w:line="276" w:lineRule="auto"/>
        <w:ind w:left="15" w:leftChars="7" w:firstLine="420" w:firstLineChars="200"/>
        <w:jc w:val="left"/>
        <w:rPr>
          <w:rFonts w:ascii="Times New Roman" w:hAnsi="Times New Roman" w:eastAsiaTheme="minorEastAsia"/>
          <w:color w:val="auto"/>
          <w:szCs w:val="21"/>
          <w:highlight w:val="none"/>
          <w:u w:val="single"/>
        </w:rPr>
      </w:pPr>
      <w:r>
        <w:rPr>
          <w:rFonts w:ascii="Times New Roman" w:hAnsi="Times New Roman" w:eastAsiaTheme="minorEastAsia"/>
          <w:color w:val="auto"/>
          <w:szCs w:val="21"/>
          <w:highlight w:val="none"/>
        </w:rPr>
        <w:t xml:space="preserve">甲方邮箱地址： </w:t>
      </w:r>
      <w:r>
        <w:rPr>
          <w:rFonts w:ascii="Times New Roman" w:hAnsi="Times New Roman" w:eastAsiaTheme="minorEastAsia"/>
          <w:color w:val="auto"/>
          <w:szCs w:val="21"/>
          <w:highlight w:val="none"/>
          <w:u w:val="single"/>
        </w:rPr>
        <w:t xml:space="preserve">   </w:t>
      </w:r>
      <w:r>
        <w:rPr>
          <w:rFonts w:hint="eastAsia" w:ascii="Times New Roman" w:hAnsi="Times New Roman" w:eastAsiaTheme="minorEastAsia"/>
          <w:color w:val="auto"/>
          <w:szCs w:val="21"/>
          <w:highlight w:val="none"/>
          <w:u w:val="single"/>
          <w:lang w:val="en-US" w:eastAsia="zh-CN"/>
        </w:rPr>
        <w:t xml:space="preserve">   </w:t>
      </w:r>
      <w:r>
        <w:rPr>
          <w:rFonts w:hint="eastAsia" w:ascii="Times New Roman" w:hAnsi="Times New Roman" w:eastAsiaTheme="minorEastAsia"/>
          <w:color w:val="auto"/>
          <w:szCs w:val="21"/>
          <w:highlight w:val="none"/>
          <w:u w:val="single"/>
        </w:rPr>
        <w:t xml:space="preserve"> </w:t>
      </w:r>
      <w:r>
        <w:rPr>
          <w:rFonts w:ascii="Times New Roman" w:hAnsi="Times New Roman" w:eastAsiaTheme="minorEastAsia"/>
          <w:color w:val="auto"/>
          <w:szCs w:val="21"/>
          <w:highlight w:val="none"/>
          <w:u w:val="single"/>
        </w:rPr>
        <w:t xml:space="preserve"> </w:t>
      </w:r>
      <w:r>
        <w:rPr>
          <w:rFonts w:hint="eastAsia" w:ascii="Times New Roman" w:hAnsi="Times New Roman" w:eastAsiaTheme="minorEastAsia"/>
          <w:color w:val="auto"/>
          <w:szCs w:val="21"/>
          <w:highlight w:val="none"/>
          <w:u w:val="single"/>
          <w:lang w:val="en-US" w:eastAsia="zh-CN"/>
        </w:rPr>
        <w:t xml:space="preserve">                         </w:t>
      </w:r>
      <w:r>
        <w:rPr>
          <w:rFonts w:ascii="Times New Roman" w:hAnsi="Times New Roman" w:eastAsiaTheme="minorEastAsia"/>
          <w:color w:val="auto"/>
          <w:szCs w:val="21"/>
          <w:highlight w:val="none"/>
          <w:u w:val="single"/>
        </w:rPr>
        <w:t xml:space="preserve"> </w:t>
      </w:r>
      <w:r>
        <w:rPr>
          <w:rFonts w:hint="eastAsia" w:ascii="Times New Roman" w:hAnsi="Times New Roman" w:eastAsiaTheme="minorEastAsia"/>
          <w:color w:val="auto"/>
          <w:szCs w:val="21"/>
          <w:highlight w:val="none"/>
          <w:u w:val="single"/>
          <w:lang w:val="en-US" w:eastAsia="zh-CN"/>
        </w:rPr>
        <w:t xml:space="preserve"> </w:t>
      </w:r>
      <w:r>
        <w:rPr>
          <w:rFonts w:ascii="Times New Roman" w:hAnsi="Times New Roman" w:eastAsiaTheme="minorEastAsia"/>
          <w:color w:val="auto"/>
          <w:szCs w:val="21"/>
          <w:highlight w:val="none"/>
          <w:u w:val="single"/>
        </w:rPr>
        <w:t xml:space="preserve">  </w:t>
      </w:r>
    </w:p>
    <w:p>
      <w:pPr>
        <w:widowControl/>
        <w:spacing w:before="0" w:beforeLines="0" w:after="157" w:afterLines="50" w:line="276" w:lineRule="auto"/>
        <w:ind w:left="15" w:leftChars="7" w:firstLine="420" w:firstLineChars="200"/>
        <w:jc w:val="left"/>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甲方联系人及联系电话：</w:t>
      </w:r>
      <w:r>
        <w:rPr>
          <w:rFonts w:ascii="Times New Roman" w:hAnsi="Times New Roman" w:eastAsiaTheme="minorEastAsia"/>
          <w:color w:val="auto"/>
          <w:szCs w:val="21"/>
          <w:highlight w:val="none"/>
          <w:u w:val="single"/>
        </w:rPr>
        <w:t xml:space="preserve">     </w:t>
      </w:r>
      <w:r>
        <w:rPr>
          <w:rFonts w:hint="eastAsia" w:ascii="Times New Roman" w:hAnsi="Times New Roman" w:eastAsiaTheme="minorEastAsia"/>
          <w:color w:val="auto"/>
          <w:szCs w:val="21"/>
          <w:highlight w:val="none"/>
          <w:u w:val="single"/>
          <w:lang w:val="en-US" w:eastAsia="zh-CN"/>
        </w:rPr>
        <w:t xml:space="preserve">                      </w:t>
      </w:r>
      <w:r>
        <w:rPr>
          <w:rFonts w:ascii="Times New Roman" w:hAnsi="Times New Roman" w:eastAsiaTheme="minorEastAsia"/>
          <w:color w:val="auto"/>
          <w:szCs w:val="21"/>
          <w:highlight w:val="none"/>
          <w:u w:val="single"/>
        </w:rPr>
        <w:t xml:space="preserve">   </w:t>
      </w:r>
    </w:p>
    <w:p>
      <w:pPr>
        <w:widowControl/>
        <w:spacing w:before="0" w:beforeLines="0" w:after="0" w:afterLines="0" w:line="276" w:lineRule="auto"/>
        <w:ind w:left="15" w:leftChars="7" w:firstLine="420" w:firstLineChars="200"/>
        <w:jc w:val="left"/>
        <w:rPr>
          <w:rFonts w:ascii="Times New Roman" w:hAnsi="Times New Roman" w:eastAsiaTheme="minorEastAsia"/>
          <w:color w:val="auto"/>
          <w:szCs w:val="21"/>
          <w:highlight w:val="none"/>
          <w:u w:val="single"/>
        </w:rPr>
      </w:pPr>
      <w:r>
        <w:rPr>
          <w:rFonts w:ascii="Times New Roman" w:hAnsi="Times New Roman" w:eastAsiaTheme="minorEastAsia"/>
          <w:color w:val="auto"/>
          <w:szCs w:val="21"/>
          <w:highlight w:val="none"/>
        </w:rPr>
        <w:t xml:space="preserve">乙方地址： </w:t>
      </w:r>
      <w:r>
        <w:rPr>
          <w:rFonts w:ascii="Times New Roman" w:hAnsi="Times New Roman" w:eastAsiaTheme="minorEastAsia"/>
          <w:color w:val="auto"/>
          <w:szCs w:val="21"/>
          <w:highlight w:val="none"/>
          <w:u w:val="single"/>
        </w:rPr>
        <w:t xml:space="preserve"> </w:t>
      </w:r>
      <w:r>
        <w:rPr>
          <w:rFonts w:hint="eastAsia" w:ascii="Times New Roman" w:hAnsi="Times New Roman" w:eastAsiaTheme="minorEastAsia"/>
          <w:color w:val="auto"/>
          <w:szCs w:val="21"/>
          <w:highlight w:val="none"/>
          <w:u w:val="single"/>
          <w:lang w:val="en-US" w:eastAsia="zh-CN"/>
        </w:rPr>
        <w:t xml:space="preserve">                                      </w:t>
      </w:r>
      <w:r>
        <w:rPr>
          <w:rFonts w:ascii="Times New Roman" w:hAnsi="Times New Roman" w:eastAsiaTheme="minorEastAsia"/>
          <w:color w:val="auto"/>
          <w:szCs w:val="21"/>
          <w:highlight w:val="none"/>
          <w:u w:val="single"/>
        </w:rPr>
        <w:t xml:space="preserve">  </w:t>
      </w:r>
    </w:p>
    <w:p>
      <w:pPr>
        <w:widowControl/>
        <w:spacing w:before="0" w:beforeLines="0" w:after="0" w:afterLines="0" w:line="276" w:lineRule="auto"/>
        <w:ind w:left="15" w:leftChars="7" w:firstLine="420" w:firstLineChars="200"/>
        <w:jc w:val="left"/>
        <w:rPr>
          <w:rFonts w:ascii="Times New Roman" w:hAnsi="Times New Roman" w:eastAsiaTheme="minorEastAsia"/>
          <w:color w:val="auto"/>
          <w:szCs w:val="21"/>
          <w:highlight w:val="none"/>
          <w:u w:val="single"/>
        </w:rPr>
      </w:pPr>
      <w:r>
        <w:rPr>
          <w:rFonts w:ascii="Times New Roman" w:hAnsi="Times New Roman" w:eastAsiaTheme="minorEastAsia"/>
          <w:color w:val="auto"/>
          <w:szCs w:val="21"/>
          <w:highlight w:val="none"/>
        </w:rPr>
        <w:t xml:space="preserve">乙方邮箱地址： </w:t>
      </w:r>
      <w:r>
        <w:rPr>
          <w:rFonts w:ascii="Times New Roman" w:hAnsi="Times New Roman" w:eastAsiaTheme="minorEastAsia"/>
          <w:color w:val="auto"/>
          <w:szCs w:val="21"/>
          <w:highlight w:val="none"/>
          <w:u w:val="single"/>
        </w:rPr>
        <w:t xml:space="preserve">                   </w:t>
      </w:r>
      <w:r>
        <w:rPr>
          <w:rFonts w:hint="eastAsia" w:ascii="Times New Roman" w:hAnsi="Times New Roman" w:eastAsiaTheme="minorEastAsia"/>
          <w:color w:val="auto"/>
          <w:szCs w:val="21"/>
          <w:highlight w:val="none"/>
          <w:u w:val="single"/>
          <w:lang w:val="en-US" w:eastAsia="zh-CN"/>
        </w:rPr>
        <w:t xml:space="preserve">     </w:t>
      </w:r>
      <w:r>
        <w:rPr>
          <w:rFonts w:ascii="Times New Roman" w:hAnsi="Times New Roman" w:eastAsiaTheme="minorEastAsia"/>
          <w:color w:val="auto"/>
          <w:szCs w:val="21"/>
          <w:highlight w:val="none"/>
          <w:u w:val="single"/>
        </w:rPr>
        <w:t xml:space="preserve">    </w:t>
      </w:r>
      <w:r>
        <w:rPr>
          <w:rFonts w:hint="eastAsia" w:ascii="Times New Roman" w:hAnsi="Times New Roman" w:eastAsiaTheme="minorEastAsia"/>
          <w:color w:val="auto"/>
          <w:szCs w:val="21"/>
          <w:highlight w:val="none"/>
          <w:u w:val="single"/>
          <w:lang w:val="en-US" w:eastAsia="zh-CN"/>
        </w:rPr>
        <w:t xml:space="preserve">  </w:t>
      </w:r>
      <w:r>
        <w:rPr>
          <w:rFonts w:ascii="Times New Roman" w:hAnsi="Times New Roman" w:eastAsiaTheme="minorEastAsia"/>
          <w:color w:val="auto"/>
          <w:szCs w:val="21"/>
          <w:highlight w:val="none"/>
          <w:u w:val="single"/>
        </w:rPr>
        <w:t xml:space="preserve"> </w:t>
      </w:r>
      <w:r>
        <w:rPr>
          <w:rFonts w:hint="eastAsia" w:ascii="Times New Roman" w:hAnsi="Times New Roman" w:eastAsiaTheme="minorEastAsia"/>
          <w:color w:val="auto"/>
          <w:szCs w:val="21"/>
          <w:highlight w:val="none"/>
          <w:u w:val="single"/>
          <w:lang w:val="en-US" w:eastAsia="zh-CN"/>
        </w:rPr>
        <w:t xml:space="preserve">   </w:t>
      </w:r>
      <w:r>
        <w:rPr>
          <w:rFonts w:ascii="Times New Roman" w:hAnsi="Times New Roman" w:eastAsiaTheme="minorEastAsia"/>
          <w:color w:val="auto"/>
          <w:szCs w:val="21"/>
          <w:highlight w:val="none"/>
          <w:u w:val="single"/>
        </w:rPr>
        <w:t xml:space="preserve">   </w:t>
      </w:r>
    </w:p>
    <w:p>
      <w:pPr>
        <w:widowControl/>
        <w:spacing w:before="0" w:beforeLines="0" w:after="0" w:afterLines="0" w:line="276" w:lineRule="auto"/>
        <w:ind w:left="15" w:leftChars="7" w:firstLine="420" w:firstLineChars="200"/>
        <w:jc w:val="left"/>
        <w:rPr>
          <w:rFonts w:ascii="Times New Roman" w:hAnsi="Times New Roman" w:eastAsiaTheme="minorEastAsia"/>
          <w:color w:val="auto"/>
          <w:szCs w:val="21"/>
          <w:highlight w:val="none"/>
          <w:u w:val="single"/>
        </w:rPr>
      </w:pPr>
      <w:r>
        <w:rPr>
          <w:rFonts w:ascii="Times New Roman" w:hAnsi="Times New Roman" w:eastAsiaTheme="minorEastAsia"/>
          <w:color w:val="auto"/>
          <w:szCs w:val="21"/>
          <w:highlight w:val="none"/>
        </w:rPr>
        <w:t xml:space="preserve">乙方联系人及联系电话： </w:t>
      </w:r>
      <w:r>
        <w:rPr>
          <w:rFonts w:ascii="Times New Roman" w:hAnsi="Times New Roman" w:eastAsiaTheme="minorEastAsia"/>
          <w:color w:val="auto"/>
          <w:szCs w:val="21"/>
          <w:highlight w:val="none"/>
          <w:u w:val="single"/>
        </w:rPr>
        <w:t xml:space="preserve">                       </w:t>
      </w:r>
      <w:r>
        <w:rPr>
          <w:rFonts w:hint="eastAsia" w:ascii="Times New Roman" w:hAnsi="Times New Roman" w:eastAsiaTheme="minorEastAsia"/>
          <w:color w:val="auto"/>
          <w:szCs w:val="21"/>
          <w:highlight w:val="none"/>
          <w:u w:val="single"/>
          <w:lang w:val="en-US" w:eastAsia="zh-CN"/>
        </w:rPr>
        <w:t xml:space="preserve">   </w:t>
      </w:r>
      <w:r>
        <w:rPr>
          <w:rFonts w:ascii="Times New Roman" w:hAnsi="Times New Roman" w:eastAsiaTheme="minorEastAsia"/>
          <w:color w:val="auto"/>
          <w:szCs w:val="21"/>
          <w:highlight w:val="none"/>
          <w:u w:val="single"/>
        </w:rPr>
        <w:t xml:space="preserve">   </w:t>
      </w:r>
    </w:p>
    <w:p>
      <w:pPr>
        <w:widowControl/>
        <w:spacing w:before="156" w:beforeLines="50" w:after="156" w:afterLines="50" w:line="276" w:lineRule="auto"/>
        <w:ind w:firstLine="420" w:firstLineChars="200"/>
        <w:jc w:val="left"/>
        <w:rPr>
          <w:rFonts w:ascii="Times New Roman" w:hAnsi="Times New Roman"/>
          <w:color w:val="auto"/>
          <w:szCs w:val="21"/>
          <w:highlight w:val="none"/>
        </w:rPr>
      </w:pPr>
      <w:r>
        <w:rPr>
          <w:rFonts w:hint="eastAsia" w:ascii="Times New Roman" w:hAnsi="Times New Roman" w:eastAsiaTheme="minorEastAsia"/>
          <w:color w:val="auto"/>
          <w:szCs w:val="21"/>
          <w:highlight w:val="none"/>
        </w:rPr>
        <w:t>送达</w:t>
      </w:r>
      <w:r>
        <w:rPr>
          <w:rFonts w:ascii="Times New Roman" w:hAnsi="Times New Roman" w:eastAsiaTheme="minorEastAsia"/>
          <w:color w:val="auto"/>
          <w:szCs w:val="21"/>
          <w:highlight w:val="none"/>
        </w:rPr>
        <w:t>形式包括但不限于</w:t>
      </w:r>
      <w:r>
        <w:rPr>
          <w:rFonts w:hint="eastAsia" w:ascii="Times New Roman" w:hAnsi="Times New Roman" w:eastAsiaTheme="minorEastAsia"/>
          <w:color w:val="auto"/>
          <w:szCs w:val="21"/>
          <w:highlight w:val="none"/>
        </w:rPr>
        <w:t>邮件、</w:t>
      </w:r>
      <w:r>
        <w:rPr>
          <w:rFonts w:ascii="Times New Roman" w:hAnsi="Times New Roman" w:eastAsiaTheme="minorEastAsia"/>
          <w:color w:val="auto"/>
          <w:szCs w:val="21"/>
          <w:highlight w:val="none"/>
        </w:rPr>
        <w:t>传真、</w:t>
      </w:r>
      <w:r>
        <w:rPr>
          <w:rFonts w:hint="eastAsia" w:ascii="Times New Roman" w:hAnsi="Times New Roman" w:eastAsiaTheme="minorEastAsia"/>
          <w:color w:val="auto"/>
          <w:szCs w:val="21"/>
          <w:highlight w:val="none"/>
        </w:rPr>
        <w:t>公认的快</w:t>
      </w:r>
      <w:r>
        <w:rPr>
          <w:rFonts w:ascii="Times New Roman" w:hAnsi="Times New Roman" w:eastAsiaTheme="minorEastAsia"/>
          <w:color w:val="auto"/>
          <w:szCs w:val="21"/>
          <w:highlight w:val="none"/>
        </w:rPr>
        <w:t>递等。如果</w:t>
      </w:r>
      <w:r>
        <w:rPr>
          <w:rFonts w:hint="eastAsia" w:ascii="Times New Roman" w:hAnsi="Times New Roman" w:eastAsiaTheme="minorEastAsia"/>
          <w:color w:val="auto"/>
          <w:szCs w:val="21"/>
          <w:highlight w:val="none"/>
        </w:rPr>
        <w:t>以邮件、传真方式发送的，成功发送即视为送达；</w:t>
      </w:r>
      <w:r>
        <w:rPr>
          <w:rFonts w:ascii="Times New Roman" w:hAnsi="Times New Roman" w:eastAsiaTheme="minorEastAsia"/>
          <w:color w:val="auto"/>
          <w:szCs w:val="21"/>
          <w:highlight w:val="none"/>
        </w:rPr>
        <w:t>以快递的方式发出，自发出之日起第三日视为送达</w:t>
      </w:r>
      <w:r>
        <w:rPr>
          <w:rFonts w:hint="eastAsia" w:ascii="Times New Roman" w:hAnsi="Times New Roman" w:eastAsiaTheme="minorEastAsia"/>
          <w:color w:val="auto"/>
          <w:szCs w:val="21"/>
          <w:highlight w:val="none"/>
        </w:rPr>
        <w:t>。</w:t>
      </w:r>
      <w:r>
        <w:rPr>
          <w:rFonts w:ascii="Times New Roman" w:hAnsi="Times New Roman"/>
          <w:color w:val="auto"/>
          <w:szCs w:val="21"/>
          <w:highlight w:val="none"/>
        </w:rPr>
        <w:t>若联系人</w:t>
      </w:r>
      <w:r>
        <w:rPr>
          <w:rFonts w:hint="eastAsia" w:ascii="Times New Roman" w:hAnsi="Times New Roman"/>
          <w:color w:val="auto"/>
          <w:szCs w:val="21"/>
          <w:highlight w:val="none"/>
        </w:rPr>
        <w:t>或联系地址等信息</w:t>
      </w:r>
      <w:r>
        <w:rPr>
          <w:rFonts w:ascii="Times New Roman" w:hAnsi="Times New Roman"/>
          <w:color w:val="auto"/>
          <w:szCs w:val="21"/>
          <w:highlight w:val="none"/>
        </w:rPr>
        <w:t>变更，双方均需提前一周</w:t>
      </w:r>
      <w:r>
        <w:rPr>
          <w:rFonts w:hint="eastAsia" w:ascii="Times New Roman" w:hAnsi="Times New Roman"/>
          <w:color w:val="auto"/>
          <w:szCs w:val="21"/>
          <w:highlight w:val="none"/>
        </w:rPr>
        <w:t>书面</w:t>
      </w:r>
      <w:r>
        <w:rPr>
          <w:rFonts w:ascii="Times New Roman" w:hAnsi="Times New Roman"/>
          <w:color w:val="auto"/>
          <w:szCs w:val="21"/>
          <w:highlight w:val="none"/>
        </w:rPr>
        <w:t>通知对方</w:t>
      </w:r>
      <w:r>
        <w:rPr>
          <w:rFonts w:hint="eastAsia" w:ascii="Times New Roman" w:hAnsi="Times New Roman"/>
          <w:color w:val="auto"/>
          <w:szCs w:val="21"/>
          <w:highlight w:val="none"/>
        </w:rPr>
        <w:t>并得到对方确认。</w:t>
      </w:r>
      <w:r>
        <w:rPr>
          <w:rFonts w:ascii="Times New Roman" w:hAnsi="Times New Roman" w:eastAsiaTheme="minorEastAsia"/>
          <w:color w:val="auto"/>
          <w:szCs w:val="21"/>
          <w:highlight w:val="none"/>
        </w:rPr>
        <w:t>如任何一方联系方式或通讯地址有误或</w:t>
      </w:r>
      <w:r>
        <w:rPr>
          <w:rFonts w:hint="eastAsia" w:ascii="Times New Roman" w:hAnsi="Times New Roman" w:eastAsiaTheme="minorEastAsia"/>
          <w:color w:val="auto"/>
          <w:szCs w:val="21"/>
          <w:highlight w:val="none"/>
        </w:rPr>
        <w:t>擅自</w:t>
      </w:r>
      <w:r>
        <w:rPr>
          <w:rFonts w:ascii="Times New Roman" w:hAnsi="Times New Roman" w:eastAsiaTheme="minorEastAsia"/>
          <w:color w:val="auto"/>
          <w:szCs w:val="21"/>
          <w:highlight w:val="none"/>
        </w:rPr>
        <w:t>变更而导致另一方</w:t>
      </w:r>
      <w:r>
        <w:rPr>
          <w:rFonts w:hint="eastAsia" w:ascii="Times New Roman" w:hAnsi="Times New Roman" w:eastAsiaTheme="minorEastAsia"/>
          <w:color w:val="auto"/>
          <w:szCs w:val="21"/>
          <w:highlight w:val="none"/>
        </w:rPr>
        <w:t>通知或文件无法送达</w:t>
      </w:r>
      <w:r>
        <w:rPr>
          <w:rFonts w:ascii="Times New Roman" w:hAnsi="Times New Roman" w:eastAsiaTheme="minorEastAsia"/>
          <w:color w:val="auto"/>
          <w:szCs w:val="21"/>
          <w:highlight w:val="none"/>
        </w:rPr>
        <w:t>的，由此造成的损失由过错方</w:t>
      </w:r>
      <w:r>
        <w:rPr>
          <w:rFonts w:hint="eastAsia" w:ascii="Times New Roman" w:hAnsi="Times New Roman" w:eastAsiaTheme="minorEastAsia"/>
          <w:color w:val="auto"/>
          <w:szCs w:val="21"/>
          <w:highlight w:val="none"/>
        </w:rPr>
        <w:t>承担</w:t>
      </w:r>
      <w:r>
        <w:rPr>
          <w:rFonts w:ascii="Times New Roman" w:hAnsi="Times New Roman" w:eastAsiaTheme="minorEastAsia"/>
          <w:color w:val="auto"/>
          <w:szCs w:val="21"/>
          <w:highlight w:val="none"/>
        </w:rPr>
        <w:t>。</w:t>
      </w:r>
    </w:p>
    <w:p>
      <w:pPr>
        <w:widowControl/>
        <w:spacing w:before="156" w:beforeLines="50" w:after="156" w:afterLines="50" w:line="276"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12.2本合同未尽事宜，双方应签订书面补充协议。补充协议与本合同具有同等法律效力，补充协议未约定的，以本合同相关约定为准；补充协议与本合同约定不一致的，以补充协议相关约定为准。</w:t>
      </w:r>
    </w:p>
    <w:p>
      <w:pPr>
        <w:widowControl/>
        <w:spacing w:before="156" w:beforeLines="50" w:after="156" w:afterLines="50" w:line="276" w:lineRule="auto"/>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rPr>
        <w:t>1</w:t>
      </w:r>
      <w:r>
        <w:rPr>
          <w:rFonts w:ascii="Times New Roman" w:hAnsi="Times New Roman"/>
          <w:color w:val="auto"/>
          <w:szCs w:val="21"/>
          <w:highlight w:val="none"/>
        </w:rPr>
        <w:t>2.3</w:t>
      </w:r>
      <w:r>
        <w:rPr>
          <w:rFonts w:hint="eastAsia" w:ascii="Times New Roman" w:hAnsi="Times New Roman" w:eastAsiaTheme="minorEastAsia"/>
          <w:color w:val="auto"/>
          <w:szCs w:val="21"/>
          <w:highlight w:val="none"/>
        </w:rPr>
        <w:t>本合同中的标题只供参考，不影响对本合同的解释。</w:t>
      </w:r>
    </w:p>
    <w:p>
      <w:pPr>
        <w:widowControl/>
        <w:spacing w:before="156" w:beforeLines="50" w:after="156" w:afterLines="50" w:line="276"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 xml:space="preserve">12.4 </w:t>
      </w:r>
      <w:r>
        <w:rPr>
          <w:rFonts w:hint="eastAsia" w:ascii="Times New Roman" w:hAnsi="Times New Roman"/>
          <w:color w:val="auto"/>
          <w:szCs w:val="21"/>
          <w:highlight w:val="none"/>
        </w:rPr>
        <w:t>本合同附件为本合同的组成部分，与本合同具有同等法律效力。甲乙双方经协商一致，可根据实际情况对本合同附件内容单独进行变更。</w:t>
      </w:r>
    </w:p>
    <w:p>
      <w:pPr>
        <w:widowControl/>
        <w:spacing w:before="156" w:beforeLines="50" w:after="156" w:afterLines="50" w:line="276" w:lineRule="auto"/>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rPr>
        <w:t>1</w:t>
      </w:r>
      <w:r>
        <w:rPr>
          <w:rFonts w:ascii="Times New Roman" w:hAnsi="Times New Roman"/>
          <w:color w:val="auto"/>
          <w:szCs w:val="21"/>
          <w:highlight w:val="none"/>
        </w:rPr>
        <w:t>2.5 本</w:t>
      </w:r>
      <w:r>
        <w:rPr>
          <w:rFonts w:hint="eastAsia" w:ascii="Times New Roman" w:hAnsi="Times New Roman"/>
          <w:color w:val="auto"/>
          <w:szCs w:val="21"/>
          <w:highlight w:val="none"/>
        </w:rPr>
        <w:t>合同</w:t>
      </w:r>
      <w:r>
        <w:rPr>
          <w:rFonts w:ascii="Times New Roman" w:hAnsi="Times New Roman"/>
          <w:color w:val="auto"/>
          <w:szCs w:val="21"/>
          <w:highlight w:val="none"/>
        </w:rPr>
        <w:t>一式</w:t>
      </w:r>
      <w:r>
        <w:rPr>
          <w:rFonts w:ascii="Times New Roman" w:hAnsi="Times New Roman"/>
          <w:color w:val="auto"/>
          <w:szCs w:val="21"/>
          <w:highlight w:val="none"/>
          <w:u w:val="single"/>
          <w:shd w:val="pct10" w:color="auto" w:fill="FFFFFF"/>
        </w:rPr>
        <w:t>__</w:t>
      </w:r>
      <w:r>
        <w:rPr>
          <w:rFonts w:hint="eastAsia" w:ascii="Times New Roman" w:hAnsi="Times New Roman"/>
          <w:color w:val="auto"/>
          <w:szCs w:val="21"/>
          <w:highlight w:val="none"/>
          <w:u w:val="single"/>
          <w:shd w:val="pct10" w:color="auto" w:fill="FFFFFF"/>
          <w:lang w:val="en-US" w:eastAsia="zh-CN"/>
        </w:rPr>
        <w:t>2</w:t>
      </w:r>
      <w:r>
        <w:rPr>
          <w:rFonts w:ascii="Times New Roman" w:hAnsi="Times New Roman"/>
          <w:color w:val="auto"/>
          <w:szCs w:val="21"/>
          <w:highlight w:val="none"/>
          <w:u w:val="single"/>
          <w:shd w:val="pct10" w:color="auto" w:fill="FFFFFF"/>
        </w:rPr>
        <w:t>__</w:t>
      </w:r>
      <w:r>
        <w:rPr>
          <w:rFonts w:ascii="Times New Roman" w:hAnsi="Times New Roman"/>
          <w:color w:val="auto"/>
          <w:szCs w:val="21"/>
          <w:highlight w:val="none"/>
        </w:rPr>
        <w:t>份，甲乙双方各执</w:t>
      </w:r>
      <w:r>
        <w:rPr>
          <w:rFonts w:ascii="Times New Roman" w:hAnsi="Times New Roman"/>
          <w:color w:val="auto"/>
          <w:szCs w:val="21"/>
          <w:highlight w:val="none"/>
          <w:u w:val="single"/>
          <w:shd w:val="pct10" w:color="auto" w:fill="FFFFFF"/>
        </w:rPr>
        <w:t>___</w:t>
      </w:r>
      <w:r>
        <w:rPr>
          <w:rFonts w:hint="eastAsia" w:ascii="Times New Roman" w:hAnsi="Times New Roman"/>
          <w:color w:val="auto"/>
          <w:szCs w:val="21"/>
          <w:highlight w:val="none"/>
          <w:u w:val="single"/>
          <w:shd w:val="pct10" w:color="auto" w:fill="FFFFFF"/>
          <w:lang w:val="en-US" w:eastAsia="zh-CN"/>
        </w:rPr>
        <w:t>1</w:t>
      </w:r>
      <w:r>
        <w:rPr>
          <w:rFonts w:ascii="Times New Roman" w:hAnsi="Times New Roman"/>
          <w:color w:val="auto"/>
          <w:szCs w:val="21"/>
          <w:highlight w:val="none"/>
          <w:u w:val="single"/>
          <w:shd w:val="pct10" w:color="auto" w:fill="FFFFFF"/>
        </w:rPr>
        <w:t>_</w:t>
      </w:r>
      <w:r>
        <w:rPr>
          <w:rFonts w:ascii="Times New Roman" w:hAnsi="Times New Roman"/>
          <w:color w:val="auto"/>
          <w:szCs w:val="21"/>
          <w:highlight w:val="none"/>
        </w:rPr>
        <w:t>份，自双方法定代表人或授权代表签字并加盖公章之日起生效，每份具有同等法律效力。</w:t>
      </w:r>
    </w:p>
    <w:p>
      <w:pPr>
        <w:spacing w:before="156" w:beforeLines="50" w:after="156" w:afterLines="50" w:line="276"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十</w:t>
      </w:r>
      <w:r>
        <w:rPr>
          <w:rFonts w:hint="eastAsia" w:ascii="Times New Roman" w:hAnsi="Times New Roman"/>
          <w:b/>
          <w:color w:val="auto"/>
          <w:szCs w:val="21"/>
          <w:highlight w:val="none"/>
          <w:lang w:val="en-US" w:eastAsia="zh-CN"/>
        </w:rPr>
        <w:t>三</w:t>
      </w:r>
      <w:r>
        <w:rPr>
          <w:rFonts w:ascii="Times New Roman" w:hAnsi="Times New Roman"/>
          <w:b/>
          <w:color w:val="auto"/>
          <w:szCs w:val="21"/>
          <w:highlight w:val="none"/>
        </w:rPr>
        <w:t>、附件</w:t>
      </w:r>
    </w:p>
    <w:p>
      <w:pPr>
        <w:pStyle w:val="18"/>
        <w:widowControl/>
        <w:numPr>
          <w:ilvl w:val="0"/>
          <w:numId w:val="2"/>
        </w:numPr>
        <w:spacing w:before="156" w:beforeLines="50" w:after="156" w:afterLines="50" w:line="276" w:lineRule="auto"/>
        <w:ind w:firstLineChars="0"/>
        <w:jc w:val="left"/>
        <w:rPr>
          <w:rFonts w:ascii="Times New Roman" w:hAnsi="Times New Roman"/>
          <w:b/>
          <w:vanish/>
          <w:color w:val="auto"/>
          <w:szCs w:val="21"/>
          <w:highlight w:val="none"/>
        </w:rPr>
      </w:pPr>
    </w:p>
    <w:p>
      <w:pPr>
        <w:pStyle w:val="18"/>
        <w:widowControl/>
        <w:numPr>
          <w:ilvl w:val="0"/>
          <w:numId w:val="2"/>
        </w:numPr>
        <w:spacing w:before="156" w:beforeLines="50" w:after="156" w:afterLines="50" w:line="276" w:lineRule="auto"/>
        <w:ind w:firstLineChars="0"/>
        <w:jc w:val="left"/>
        <w:rPr>
          <w:rFonts w:ascii="Times New Roman" w:hAnsi="Times New Roman"/>
          <w:b/>
          <w:vanish/>
          <w:color w:val="auto"/>
          <w:szCs w:val="21"/>
          <w:highlight w:val="none"/>
        </w:rPr>
      </w:pPr>
    </w:p>
    <w:p>
      <w:pPr>
        <w:pStyle w:val="18"/>
        <w:widowControl/>
        <w:numPr>
          <w:ilvl w:val="0"/>
          <w:numId w:val="2"/>
        </w:numPr>
        <w:spacing w:before="156" w:beforeLines="50" w:after="156" w:afterLines="50" w:line="276" w:lineRule="auto"/>
        <w:ind w:firstLineChars="0"/>
        <w:jc w:val="left"/>
        <w:rPr>
          <w:rFonts w:ascii="Times New Roman" w:hAnsi="Times New Roman"/>
          <w:b/>
          <w:vanish/>
          <w:color w:val="auto"/>
          <w:szCs w:val="21"/>
          <w:highlight w:val="none"/>
        </w:rPr>
      </w:pPr>
    </w:p>
    <w:p>
      <w:pPr>
        <w:pStyle w:val="18"/>
        <w:widowControl/>
        <w:numPr>
          <w:ilvl w:val="0"/>
          <w:numId w:val="2"/>
        </w:numPr>
        <w:spacing w:before="156" w:beforeLines="50" w:after="156" w:afterLines="50" w:line="276" w:lineRule="auto"/>
        <w:ind w:firstLineChars="0"/>
        <w:jc w:val="left"/>
        <w:rPr>
          <w:rFonts w:ascii="Times New Roman" w:hAnsi="Times New Roman"/>
          <w:b/>
          <w:vanish/>
          <w:color w:val="auto"/>
          <w:szCs w:val="21"/>
          <w:highlight w:val="none"/>
        </w:rPr>
      </w:pPr>
    </w:p>
    <w:p>
      <w:pPr>
        <w:pStyle w:val="18"/>
        <w:widowControl/>
        <w:numPr>
          <w:ilvl w:val="0"/>
          <w:numId w:val="2"/>
        </w:numPr>
        <w:spacing w:before="156" w:beforeLines="50" w:after="156" w:afterLines="50" w:line="276" w:lineRule="auto"/>
        <w:ind w:firstLineChars="0"/>
        <w:jc w:val="left"/>
        <w:rPr>
          <w:rFonts w:ascii="Times New Roman" w:hAnsi="Times New Roman"/>
          <w:b/>
          <w:vanish/>
          <w:color w:val="auto"/>
          <w:szCs w:val="21"/>
          <w:highlight w:val="none"/>
        </w:rPr>
      </w:pPr>
    </w:p>
    <w:p>
      <w:pPr>
        <w:pStyle w:val="18"/>
        <w:widowControl/>
        <w:numPr>
          <w:ilvl w:val="0"/>
          <w:numId w:val="2"/>
        </w:numPr>
        <w:spacing w:before="156" w:beforeLines="50" w:after="156" w:afterLines="50" w:line="276" w:lineRule="auto"/>
        <w:ind w:firstLineChars="0"/>
        <w:jc w:val="left"/>
        <w:rPr>
          <w:rFonts w:ascii="Times New Roman" w:hAnsi="Times New Roman"/>
          <w:b/>
          <w:vanish/>
          <w:color w:val="auto"/>
          <w:szCs w:val="21"/>
          <w:highlight w:val="none"/>
        </w:rPr>
      </w:pPr>
    </w:p>
    <w:p>
      <w:pPr>
        <w:pStyle w:val="18"/>
        <w:widowControl/>
        <w:numPr>
          <w:ilvl w:val="0"/>
          <w:numId w:val="2"/>
        </w:numPr>
        <w:spacing w:before="156" w:beforeLines="50" w:after="156" w:afterLines="50" w:line="276" w:lineRule="auto"/>
        <w:ind w:firstLineChars="0"/>
        <w:jc w:val="left"/>
        <w:rPr>
          <w:rFonts w:ascii="Times New Roman" w:hAnsi="Times New Roman"/>
          <w:b/>
          <w:vanish/>
          <w:color w:val="auto"/>
          <w:szCs w:val="21"/>
          <w:highlight w:val="none"/>
        </w:rPr>
      </w:pPr>
    </w:p>
    <w:p>
      <w:pPr>
        <w:pStyle w:val="18"/>
        <w:widowControl/>
        <w:numPr>
          <w:ilvl w:val="0"/>
          <w:numId w:val="2"/>
        </w:numPr>
        <w:spacing w:before="156" w:beforeLines="50" w:after="156" w:afterLines="50" w:line="276" w:lineRule="auto"/>
        <w:ind w:firstLineChars="0"/>
        <w:jc w:val="left"/>
        <w:rPr>
          <w:rFonts w:ascii="Times New Roman" w:hAnsi="Times New Roman"/>
          <w:b/>
          <w:vanish/>
          <w:color w:val="auto"/>
          <w:szCs w:val="21"/>
          <w:highlight w:val="none"/>
        </w:rPr>
      </w:pPr>
    </w:p>
    <w:p>
      <w:pPr>
        <w:pStyle w:val="18"/>
        <w:widowControl/>
        <w:numPr>
          <w:ilvl w:val="0"/>
          <w:numId w:val="2"/>
        </w:numPr>
        <w:spacing w:before="156" w:beforeLines="50" w:after="156" w:afterLines="50" w:line="276" w:lineRule="auto"/>
        <w:ind w:firstLineChars="0"/>
        <w:jc w:val="left"/>
        <w:rPr>
          <w:rFonts w:ascii="Times New Roman" w:hAnsi="Times New Roman"/>
          <w:b/>
          <w:vanish/>
          <w:color w:val="auto"/>
          <w:szCs w:val="21"/>
          <w:highlight w:val="none"/>
        </w:rPr>
      </w:pPr>
    </w:p>
    <w:p>
      <w:pPr>
        <w:pStyle w:val="18"/>
        <w:widowControl/>
        <w:numPr>
          <w:ilvl w:val="0"/>
          <w:numId w:val="2"/>
        </w:numPr>
        <w:spacing w:before="156" w:beforeLines="50" w:after="156" w:afterLines="50" w:line="276" w:lineRule="auto"/>
        <w:ind w:firstLineChars="0"/>
        <w:jc w:val="left"/>
        <w:rPr>
          <w:rFonts w:ascii="Times New Roman" w:hAnsi="Times New Roman"/>
          <w:b/>
          <w:vanish/>
          <w:color w:val="auto"/>
          <w:szCs w:val="21"/>
          <w:highlight w:val="none"/>
        </w:rPr>
      </w:pPr>
    </w:p>
    <w:p>
      <w:pPr>
        <w:pStyle w:val="18"/>
        <w:widowControl/>
        <w:numPr>
          <w:ilvl w:val="0"/>
          <w:numId w:val="2"/>
        </w:numPr>
        <w:spacing w:before="156" w:beforeLines="50" w:after="156" w:afterLines="50" w:line="276" w:lineRule="auto"/>
        <w:ind w:firstLineChars="0"/>
        <w:jc w:val="left"/>
        <w:rPr>
          <w:rFonts w:ascii="Times New Roman" w:hAnsi="Times New Roman"/>
          <w:b/>
          <w:vanish/>
          <w:color w:val="auto"/>
          <w:szCs w:val="21"/>
          <w:highlight w:val="none"/>
        </w:rPr>
      </w:pPr>
    </w:p>
    <w:p>
      <w:pPr>
        <w:pStyle w:val="18"/>
        <w:widowControl/>
        <w:numPr>
          <w:ilvl w:val="0"/>
          <w:numId w:val="2"/>
        </w:numPr>
        <w:spacing w:before="156" w:beforeLines="50" w:after="156" w:afterLines="50" w:line="276" w:lineRule="auto"/>
        <w:ind w:firstLineChars="0"/>
        <w:jc w:val="left"/>
        <w:rPr>
          <w:rFonts w:ascii="Times New Roman" w:hAnsi="Times New Roman"/>
          <w:b/>
          <w:vanish/>
          <w:color w:val="auto"/>
          <w:szCs w:val="21"/>
          <w:highlight w:val="none"/>
        </w:rPr>
      </w:pPr>
    </w:p>
    <w:p>
      <w:pPr>
        <w:pStyle w:val="18"/>
        <w:widowControl/>
        <w:numPr>
          <w:ilvl w:val="0"/>
          <w:numId w:val="2"/>
        </w:numPr>
        <w:spacing w:before="156" w:beforeLines="50" w:after="156" w:afterLines="50" w:line="276" w:lineRule="auto"/>
        <w:ind w:firstLineChars="0"/>
        <w:jc w:val="left"/>
        <w:rPr>
          <w:rFonts w:ascii="Times New Roman" w:hAnsi="Times New Roman"/>
          <w:b/>
          <w:vanish/>
          <w:color w:val="auto"/>
          <w:szCs w:val="21"/>
          <w:highlight w:val="none"/>
        </w:rPr>
      </w:pPr>
    </w:p>
    <w:p>
      <w:pPr>
        <w:pStyle w:val="18"/>
        <w:widowControl/>
        <w:numPr>
          <w:ilvl w:val="0"/>
          <w:numId w:val="2"/>
        </w:numPr>
        <w:spacing w:before="156" w:beforeLines="50" w:after="156" w:afterLines="50" w:line="276" w:lineRule="auto"/>
        <w:ind w:firstLineChars="0"/>
        <w:jc w:val="left"/>
        <w:rPr>
          <w:rFonts w:ascii="Times New Roman" w:hAnsi="Times New Roman"/>
          <w:b/>
          <w:vanish/>
          <w:color w:val="auto"/>
          <w:szCs w:val="21"/>
          <w:highlight w:val="none"/>
        </w:rPr>
      </w:pPr>
    </w:p>
    <w:p>
      <w:pPr>
        <w:pStyle w:val="18"/>
        <w:widowControl/>
        <w:numPr>
          <w:ilvl w:val="0"/>
          <w:numId w:val="2"/>
        </w:numPr>
        <w:spacing w:before="156" w:beforeLines="50" w:after="156" w:afterLines="50" w:line="276" w:lineRule="auto"/>
        <w:ind w:firstLineChars="0"/>
        <w:jc w:val="left"/>
        <w:rPr>
          <w:rFonts w:ascii="Times New Roman" w:hAnsi="Times New Roman"/>
          <w:b/>
          <w:vanish/>
          <w:color w:val="auto"/>
          <w:szCs w:val="21"/>
          <w:highlight w:val="none"/>
        </w:rPr>
      </w:pPr>
    </w:p>
    <w:p>
      <w:pPr>
        <w:pStyle w:val="18"/>
        <w:widowControl/>
        <w:numPr>
          <w:ilvl w:val="1"/>
          <w:numId w:val="2"/>
        </w:numPr>
        <w:spacing w:before="156" w:beforeLines="50" w:after="156" w:afterLines="50" w:line="276" w:lineRule="auto"/>
        <w:ind w:firstLineChars="0"/>
        <w:jc w:val="left"/>
        <w:rPr>
          <w:rFonts w:ascii="Times New Roman" w:hAnsi="Times New Roman"/>
          <w:b/>
          <w:vanish/>
          <w:color w:val="auto"/>
          <w:szCs w:val="21"/>
          <w:highlight w:val="none"/>
        </w:rPr>
      </w:pPr>
    </w:p>
    <w:p>
      <w:pPr>
        <w:pStyle w:val="18"/>
        <w:widowControl/>
        <w:numPr>
          <w:ilvl w:val="1"/>
          <w:numId w:val="2"/>
        </w:numPr>
        <w:spacing w:before="156" w:beforeLines="50" w:after="156" w:afterLines="50" w:line="276" w:lineRule="auto"/>
        <w:ind w:firstLineChars="0"/>
        <w:jc w:val="left"/>
        <w:rPr>
          <w:rFonts w:ascii="Times New Roman" w:hAnsi="Times New Roman"/>
          <w:b/>
          <w:vanish/>
          <w:color w:val="auto"/>
          <w:szCs w:val="21"/>
          <w:highlight w:val="none"/>
        </w:rPr>
      </w:pPr>
    </w:p>
    <w:p>
      <w:pPr>
        <w:pStyle w:val="18"/>
        <w:widowControl/>
        <w:numPr>
          <w:ilvl w:val="1"/>
          <w:numId w:val="2"/>
        </w:numPr>
        <w:spacing w:before="156" w:beforeLines="50" w:after="156" w:afterLines="50" w:line="276" w:lineRule="auto"/>
        <w:ind w:firstLineChars="0"/>
        <w:jc w:val="left"/>
        <w:rPr>
          <w:rFonts w:ascii="Times New Roman" w:hAnsi="Times New Roman"/>
          <w:b/>
          <w:vanish/>
          <w:color w:val="auto"/>
          <w:szCs w:val="21"/>
          <w:highlight w:val="none"/>
        </w:rPr>
      </w:pPr>
    </w:p>
    <w:p>
      <w:pPr>
        <w:pStyle w:val="18"/>
        <w:widowControl/>
        <w:numPr>
          <w:ilvl w:val="0"/>
          <w:numId w:val="2"/>
        </w:numPr>
        <w:spacing w:before="156" w:beforeLines="50" w:after="156" w:afterLines="50" w:line="276" w:lineRule="auto"/>
        <w:ind w:firstLineChars="0"/>
        <w:jc w:val="left"/>
        <w:rPr>
          <w:rFonts w:ascii="Times New Roman" w:hAnsi="Times New Roman"/>
          <w:b/>
          <w:vanish/>
          <w:color w:val="auto"/>
          <w:szCs w:val="21"/>
          <w:highlight w:val="none"/>
        </w:rPr>
      </w:pPr>
    </w:p>
    <w:p>
      <w:pPr>
        <w:pStyle w:val="18"/>
        <w:widowControl/>
        <w:numPr>
          <w:ilvl w:val="0"/>
          <w:numId w:val="2"/>
        </w:numPr>
        <w:spacing w:before="156" w:beforeLines="50" w:after="156" w:afterLines="50" w:line="276" w:lineRule="auto"/>
        <w:ind w:firstLineChars="0"/>
        <w:jc w:val="left"/>
        <w:rPr>
          <w:rFonts w:ascii="Times New Roman" w:hAnsi="Times New Roman"/>
          <w:b/>
          <w:vanish/>
          <w:color w:val="auto"/>
          <w:szCs w:val="21"/>
          <w:highlight w:val="none"/>
        </w:rPr>
      </w:pPr>
    </w:p>
    <w:p>
      <w:pPr>
        <w:pStyle w:val="18"/>
        <w:widowControl/>
        <w:numPr>
          <w:ilvl w:val="0"/>
          <w:numId w:val="2"/>
        </w:numPr>
        <w:spacing w:before="156" w:beforeLines="50" w:after="156" w:afterLines="50" w:line="276" w:lineRule="auto"/>
        <w:ind w:firstLineChars="0"/>
        <w:jc w:val="left"/>
        <w:rPr>
          <w:rFonts w:ascii="Times New Roman" w:hAnsi="Times New Roman"/>
          <w:b/>
          <w:vanish/>
          <w:color w:val="auto"/>
          <w:szCs w:val="21"/>
          <w:highlight w:val="none"/>
        </w:rPr>
      </w:pPr>
    </w:p>
    <w:p>
      <w:pPr>
        <w:pStyle w:val="18"/>
        <w:widowControl/>
        <w:numPr>
          <w:ilvl w:val="0"/>
          <w:numId w:val="2"/>
        </w:numPr>
        <w:spacing w:before="156" w:beforeLines="50" w:after="156" w:afterLines="50" w:line="276" w:lineRule="auto"/>
        <w:ind w:firstLineChars="0"/>
        <w:jc w:val="left"/>
        <w:rPr>
          <w:rFonts w:ascii="Times New Roman" w:hAnsi="Times New Roman"/>
          <w:b/>
          <w:vanish/>
          <w:color w:val="auto"/>
          <w:szCs w:val="21"/>
          <w:highlight w:val="none"/>
        </w:rPr>
      </w:pPr>
    </w:p>
    <w:p>
      <w:pPr>
        <w:pStyle w:val="18"/>
        <w:widowControl/>
        <w:numPr>
          <w:ilvl w:val="0"/>
          <w:numId w:val="2"/>
        </w:numPr>
        <w:spacing w:before="156" w:beforeLines="50" w:after="156" w:afterLines="50" w:line="276" w:lineRule="auto"/>
        <w:ind w:firstLineChars="0"/>
        <w:jc w:val="left"/>
        <w:rPr>
          <w:rFonts w:ascii="Times New Roman" w:hAnsi="Times New Roman"/>
          <w:b/>
          <w:vanish/>
          <w:color w:val="auto"/>
          <w:szCs w:val="21"/>
          <w:highlight w:val="none"/>
        </w:rPr>
      </w:pPr>
    </w:p>
    <w:p>
      <w:pPr>
        <w:pStyle w:val="18"/>
        <w:widowControl/>
        <w:numPr>
          <w:ilvl w:val="0"/>
          <w:numId w:val="2"/>
        </w:numPr>
        <w:spacing w:before="156" w:beforeLines="50" w:after="156" w:afterLines="50" w:line="276" w:lineRule="auto"/>
        <w:ind w:firstLineChars="0"/>
        <w:jc w:val="left"/>
        <w:rPr>
          <w:rFonts w:ascii="Times New Roman" w:hAnsi="Times New Roman"/>
          <w:b/>
          <w:vanish/>
          <w:color w:val="auto"/>
          <w:szCs w:val="21"/>
          <w:highlight w:val="none"/>
        </w:rPr>
      </w:pPr>
    </w:p>
    <w:p>
      <w:pPr>
        <w:pStyle w:val="18"/>
        <w:widowControl/>
        <w:numPr>
          <w:ilvl w:val="0"/>
          <w:numId w:val="2"/>
        </w:numPr>
        <w:spacing w:before="156" w:beforeLines="50" w:after="156" w:afterLines="50" w:line="276" w:lineRule="auto"/>
        <w:ind w:firstLineChars="0"/>
        <w:jc w:val="left"/>
        <w:rPr>
          <w:rFonts w:ascii="Times New Roman" w:hAnsi="Times New Roman"/>
          <w:b/>
          <w:vanish/>
          <w:color w:val="auto"/>
          <w:szCs w:val="21"/>
          <w:highlight w:val="none"/>
        </w:rPr>
      </w:pPr>
    </w:p>
    <w:p>
      <w:pPr>
        <w:pStyle w:val="18"/>
        <w:widowControl/>
        <w:numPr>
          <w:ilvl w:val="0"/>
          <w:numId w:val="2"/>
        </w:numPr>
        <w:spacing w:before="156" w:beforeLines="50" w:after="156" w:afterLines="50" w:line="276" w:lineRule="auto"/>
        <w:ind w:firstLineChars="0"/>
        <w:jc w:val="left"/>
        <w:rPr>
          <w:rFonts w:ascii="Times New Roman" w:hAnsi="Times New Roman"/>
          <w:b/>
          <w:vanish/>
          <w:color w:val="auto"/>
          <w:szCs w:val="21"/>
          <w:highlight w:val="none"/>
        </w:rPr>
      </w:pPr>
    </w:p>
    <w:p>
      <w:pPr>
        <w:pStyle w:val="18"/>
        <w:widowControl/>
        <w:numPr>
          <w:ilvl w:val="0"/>
          <w:numId w:val="2"/>
        </w:numPr>
        <w:spacing w:before="156" w:beforeLines="50" w:after="156" w:afterLines="50" w:line="276" w:lineRule="auto"/>
        <w:ind w:firstLineChars="0"/>
        <w:jc w:val="left"/>
        <w:rPr>
          <w:rFonts w:ascii="Times New Roman" w:hAnsi="Times New Roman"/>
          <w:b/>
          <w:vanish/>
          <w:color w:val="auto"/>
          <w:szCs w:val="21"/>
          <w:highlight w:val="none"/>
        </w:rPr>
      </w:pPr>
    </w:p>
    <w:p>
      <w:pPr>
        <w:pStyle w:val="18"/>
        <w:widowControl/>
        <w:numPr>
          <w:ilvl w:val="0"/>
          <w:numId w:val="2"/>
        </w:numPr>
        <w:spacing w:before="156" w:beforeLines="50" w:after="156" w:afterLines="50" w:line="276" w:lineRule="auto"/>
        <w:ind w:firstLineChars="0"/>
        <w:jc w:val="left"/>
        <w:rPr>
          <w:rFonts w:ascii="Times New Roman" w:hAnsi="Times New Roman"/>
          <w:b/>
          <w:vanish/>
          <w:color w:val="auto"/>
          <w:szCs w:val="21"/>
          <w:highlight w:val="none"/>
        </w:rPr>
      </w:pPr>
    </w:p>
    <w:p>
      <w:pPr>
        <w:pStyle w:val="18"/>
        <w:widowControl/>
        <w:numPr>
          <w:ilvl w:val="0"/>
          <w:numId w:val="2"/>
        </w:numPr>
        <w:spacing w:before="156" w:beforeLines="50" w:after="156" w:afterLines="50" w:line="276" w:lineRule="auto"/>
        <w:ind w:firstLineChars="0"/>
        <w:jc w:val="left"/>
        <w:rPr>
          <w:rFonts w:ascii="Times New Roman" w:hAnsi="Times New Roman"/>
          <w:b/>
          <w:vanish/>
          <w:color w:val="auto"/>
          <w:szCs w:val="21"/>
          <w:highlight w:val="none"/>
        </w:rPr>
      </w:pPr>
    </w:p>
    <w:p>
      <w:pPr>
        <w:pStyle w:val="18"/>
        <w:widowControl/>
        <w:numPr>
          <w:ilvl w:val="0"/>
          <w:numId w:val="2"/>
        </w:numPr>
        <w:spacing w:before="156" w:beforeLines="50" w:after="156" w:afterLines="50" w:line="276" w:lineRule="auto"/>
        <w:ind w:firstLineChars="0"/>
        <w:jc w:val="left"/>
        <w:rPr>
          <w:rFonts w:ascii="Times New Roman" w:hAnsi="Times New Roman"/>
          <w:b/>
          <w:vanish/>
          <w:color w:val="auto"/>
          <w:szCs w:val="21"/>
          <w:highlight w:val="none"/>
        </w:rPr>
      </w:pPr>
    </w:p>
    <w:p>
      <w:pPr>
        <w:pStyle w:val="18"/>
        <w:widowControl/>
        <w:numPr>
          <w:ilvl w:val="0"/>
          <w:numId w:val="2"/>
        </w:numPr>
        <w:spacing w:before="156" w:beforeLines="50" w:after="156" w:afterLines="50" w:line="276" w:lineRule="auto"/>
        <w:ind w:firstLineChars="0"/>
        <w:jc w:val="left"/>
        <w:rPr>
          <w:rFonts w:ascii="Times New Roman" w:hAnsi="Times New Roman"/>
          <w:b/>
          <w:vanish/>
          <w:color w:val="auto"/>
          <w:szCs w:val="21"/>
          <w:highlight w:val="none"/>
        </w:rPr>
      </w:pPr>
    </w:p>
    <w:p>
      <w:pPr>
        <w:pStyle w:val="18"/>
        <w:widowControl/>
        <w:numPr>
          <w:ilvl w:val="0"/>
          <w:numId w:val="2"/>
        </w:numPr>
        <w:spacing w:before="156" w:beforeLines="50" w:after="156" w:afterLines="50" w:line="276" w:lineRule="auto"/>
        <w:ind w:firstLineChars="0"/>
        <w:jc w:val="left"/>
        <w:rPr>
          <w:rFonts w:ascii="Times New Roman" w:hAnsi="Times New Roman"/>
          <w:b/>
          <w:vanish/>
          <w:color w:val="auto"/>
          <w:szCs w:val="21"/>
          <w:highlight w:val="none"/>
        </w:rPr>
      </w:pPr>
    </w:p>
    <w:p>
      <w:pPr>
        <w:pStyle w:val="18"/>
        <w:widowControl/>
        <w:numPr>
          <w:ilvl w:val="0"/>
          <w:numId w:val="2"/>
        </w:numPr>
        <w:spacing w:before="156" w:beforeLines="50" w:after="156" w:afterLines="50" w:line="276" w:lineRule="auto"/>
        <w:ind w:firstLineChars="0"/>
        <w:jc w:val="left"/>
        <w:rPr>
          <w:rFonts w:ascii="Times New Roman" w:hAnsi="Times New Roman"/>
          <w:b/>
          <w:vanish/>
          <w:color w:val="auto"/>
          <w:szCs w:val="21"/>
          <w:highlight w:val="none"/>
        </w:rPr>
      </w:pPr>
    </w:p>
    <w:p>
      <w:pPr>
        <w:pStyle w:val="18"/>
        <w:widowControl/>
        <w:numPr>
          <w:ilvl w:val="1"/>
          <w:numId w:val="2"/>
        </w:numPr>
        <w:spacing w:before="156" w:beforeLines="50" w:after="156" w:afterLines="50" w:line="276" w:lineRule="auto"/>
        <w:ind w:firstLineChars="0"/>
        <w:jc w:val="left"/>
        <w:rPr>
          <w:rFonts w:ascii="Times New Roman" w:hAnsi="Times New Roman"/>
          <w:b/>
          <w:vanish/>
          <w:color w:val="auto"/>
          <w:szCs w:val="21"/>
          <w:highlight w:val="none"/>
        </w:rPr>
      </w:pPr>
    </w:p>
    <w:p>
      <w:pPr>
        <w:pStyle w:val="18"/>
        <w:widowControl/>
        <w:numPr>
          <w:ilvl w:val="1"/>
          <w:numId w:val="2"/>
        </w:numPr>
        <w:spacing w:before="156" w:beforeLines="50" w:after="156" w:afterLines="50" w:line="276" w:lineRule="auto"/>
        <w:ind w:firstLineChars="0"/>
        <w:jc w:val="left"/>
        <w:rPr>
          <w:rFonts w:ascii="Times New Roman" w:hAnsi="Times New Roman"/>
          <w:b/>
          <w:vanish/>
          <w:color w:val="auto"/>
          <w:szCs w:val="21"/>
          <w:highlight w:val="none"/>
        </w:rPr>
      </w:pPr>
    </w:p>
    <w:p>
      <w:pPr>
        <w:pStyle w:val="18"/>
        <w:widowControl/>
        <w:numPr>
          <w:ilvl w:val="1"/>
          <w:numId w:val="2"/>
        </w:numPr>
        <w:spacing w:before="156" w:beforeLines="50" w:after="156" w:afterLines="50" w:line="276" w:lineRule="auto"/>
        <w:ind w:firstLineChars="0"/>
        <w:jc w:val="left"/>
        <w:rPr>
          <w:rFonts w:ascii="Times New Roman" w:hAnsi="Times New Roman"/>
          <w:b/>
          <w:vanish/>
          <w:color w:val="auto"/>
          <w:szCs w:val="21"/>
          <w:highlight w:val="none"/>
        </w:rPr>
      </w:pPr>
    </w:p>
    <w:p>
      <w:pPr>
        <w:spacing w:before="156" w:beforeLines="50" w:after="156" w:afterLines="50" w:line="276" w:lineRule="auto"/>
        <w:ind w:firstLine="420" w:firstLineChars="200"/>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附件1：价格表</w:t>
      </w:r>
    </w:p>
    <w:p>
      <w:pPr>
        <w:spacing w:before="156" w:beforeLines="50" w:after="156" w:afterLines="50" w:line="276" w:lineRule="auto"/>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附件</w:t>
      </w:r>
      <w:r>
        <w:rPr>
          <w:rFonts w:hint="eastAsia" w:ascii="Times New Roman" w:hAnsi="Times New Roman"/>
          <w:color w:val="auto"/>
          <w:szCs w:val="21"/>
          <w:highlight w:val="none"/>
          <w:lang w:eastAsia="zh-CN"/>
        </w:rPr>
        <w:t>2</w:t>
      </w:r>
      <w:r>
        <w:rPr>
          <w:rFonts w:hint="eastAsia" w:ascii="Times New Roman" w:hAnsi="Times New Roman"/>
          <w:color w:val="auto"/>
          <w:szCs w:val="21"/>
          <w:highlight w:val="none"/>
        </w:rPr>
        <w:t>：车辆GPS温控数据授权书</w:t>
      </w:r>
    </w:p>
    <w:p>
      <w:pPr>
        <w:spacing w:before="156" w:beforeLines="50" w:after="156" w:afterLines="50" w:line="276" w:lineRule="auto"/>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附件</w:t>
      </w:r>
      <w:r>
        <w:rPr>
          <w:rFonts w:hint="eastAsia" w:ascii="Times New Roman" w:hAnsi="Times New Roman"/>
          <w:color w:val="auto"/>
          <w:szCs w:val="21"/>
          <w:highlight w:val="none"/>
          <w:lang w:eastAsia="zh-CN"/>
        </w:rPr>
        <w:t>3</w:t>
      </w:r>
      <w:r>
        <w:rPr>
          <w:rFonts w:hint="eastAsia" w:ascii="Times New Roman" w:hAnsi="Times New Roman"/>
          <w:color w:val="auto"/>
          <w:szCs w:val="21"/>
          <w:highlight w:val="none"/>
        </w:rPr>
        <w:t>：</w:t>
      </w:r>
      <w:r>
        <w:rPr>
          <w:rFonts w:hint="eastAsia" w:ascii="Times New Roman" w:hAnsi="Times New Roman"/>
          <w:color w:val="auto"/>
          <w:szCs w:val="21"/>
          <w:highlight w:val="none"/>
          <w:lang w:val="en-US" w:eastAsia="zh-CN"/>
        </w:rPr>
        <w:t>乙</w:t>
      </w:r>
      <w:r>
        <w:rPr>
          <w:rFonts w:ascii="Times New Roman" w:hAnsi="Times New Roman"/>
          <w:color w:val="auto"/>
          <w:szCs w:val="21"/>
          <w:highlight w:val="none"/>
        </w:rPr>
        <w:t>方营业执照复印件并加盖公章</w:t>
      </w:r>
    </w:p>
    <w:p>
      <w:pPr>
        <w:tabs>
          <w:tab w:val="left" w:pos="5475"/>
        </w:tabs>
        <w:spacing w:before="156" w:beforeLines="50" w:after="156" w:afterLines="50" w:line="276" w:lineRule="auto"/>
        <w:ind w:firstLine="420" w:firstLineChars="200"/>
        <w:jc w:val="center"/>
        <w:rPr>
          <w:rFonts w:ascii="Times New Roman" w:hAnsi="Times New Roman"/>
          <w:color w:val="auto"/>
          <w:szCs w:val="21"/>
          <w:highlight w:val="none"/>
        </w:rPr>
      </w:pPr>
    </w:p>
    <w:p>
      <w:pPr>
        <w:tabs>
          <w:tab w:val="left" w:pos="5475"/>
        </w:tabs>
        <w:spacing w:before="156" w:beforeLines="50" w:after="156" w:afterLines="50" w:line="276" w:lineRule="auto"/>
        <w:ind w:firstLine="420" w:firstLineChars="200"/>
        <w:jc w:val="center"/>
        <w:rPr>
          <w:rFonts w:ascii="Times New Roman" w:hAnsi="Times New Roman"/>
          <w:color w:val="auto"/>
          <w:szCs w:val="21"/>
          <w:highlight w:val="none"/>
        </w:rPr>
      </w:pPr>
      <w:r>
        <w:rPr>
          <w:rFonts w:ascii="Times New Roman" w:hAnsi="Times New Roman"/>
          <w:color w:val="auto"/>
          <w:szCs w:val="21"/>
          <w:highlight w:val="none"/>
        </w:rPr>
        <w:t>（以下无正文）</w:t>
      </w:r>
    </w:p>
    <w:p>
      <w:pPr>
        <w:tabs>
          <w:tab w:val="left" w:pos="5475"/>
        </w:tabs>
        <w:spacing w:before="156" w:beforeLines="50" w:after="156" w:afterLines="50" w:line="276" w:lineRule="auto"/>
        <w:ind w:firstLine="0" w:firstLineChars="0"/>
        <w:jc w:val="both"/>
        <w:rPr>
          <w:rFonts w:ascii="Times New Roman" w:hAnsi="Times New Roman"/>
          <w:color w:val="auto"/>
          <w:szCs w:val="21"/>
          <w:highlight w:val="none"/>
        </w:rPr>
      </w:pPr>
    </w:p>
    <w:p>
      <w:pPr>
        <w:widowControl/>
        <w:spacing w:before="0" w:beforeLines="-2147483648" w:after="0" w:afterLines="-2147483648" w:line="240" w:lineRule="auto"/>
        <w:jc w:val="left"/>
        <w:rPr>
          <w:rFonts w:ascii="Times New Roman" w:hAnsi="Times New Roman"/>
          <w:color w:val="auto"/>
          <w:szCs w:val="21"/>
          <w:highlight w:val="none"/>
        </w:rPr>
      </w:pPr>
      <w:r>
        <w:rPr>
          <w:rFonts w:ascii="Times New Roman" w:hAnsi="Times New Roman"/>
          <w:color w:val="auto"/>
          <w:szCs w:val="21"/>
          <w:highlight w:val="none"/>
        </w:rPr>
        <w:t xml:space="preserve">甲方：             </w:t>
      </w:r>
      <w:r>
        <w:rPr>
          <w:rFonts w:hint="eastAsia" w:ascii="Times New Roman" w:hAnsi="Times New Roman"/>
          <w:color w:val="auto"/>
          <w:szCs w:val="21"/>
          <w:highlight w:val="none"/>
          <w:lang w:val="en-US" w:eastAsia="zh-CN"/>
        </w:rPr>
        <w:t xml:space="preserve"> </w:t>
      </w:r>
      <w:r>
        <w:rPr>
          <w:rFonts w:ascii="Times New Roman" w:hAnsi="Times New Roman"/>
          <w:color w:val="auto"/>
          <w:szCs w:val="21"/>
          <w:highlight w:val="none"/>
        </w:rPr>
        <w:t>乙方：</w:t>
      </w:r>
    </w:p>
    <w:p>
      <w:pPr>
        <w:spacing w:before="156" w:beforeLines="50" w:after="156" w:afterLines="50" w:line="276" w:lineRule="auto"/>
        <w:ind w:firstLine="1050" w:firstLineChars="500"/>
        <w:rPr>
          <w:rFonts w:ascii="Times New Roman" w:hAnsi="Times New Roman"/>
          <w:color w:val="auto"/>
          <w:szCs w:val="21"/>
          <w:highlight w:val="none"/>
        </w:rPr>
      </w:pPr>
      <w:r>
        <w:rPr>
          <w:rFonts w:ascii="Times New Roman" w:hAnsi="Times New Roman"/>
          <w:color w:val="auto"/>
          <w:szCs w:val="21"/>
          <w:highlight w:val="none"/>
        </w:rPr>
        <w:t>（盖章）</w:t>
      </w:r>
      <w:r>
        <w:rPr>
          <w:rFonts w:hint="eastAsia" w:ascii="Times New Roman" w:hAnsi="Times New Roman"/>
          <w:color w:val="auto"/>
          <w:szCs w:val="21"/>
          <w:highlight w:val="none"/>
          <w:lang w:val="en-US" w:eastAsia="zh-CN"/>
        </w:rPr>
        <w:t xml:space="preserve">                                  </w:t>
      </w:r>
      <w:r>
        <w:rPr>
          <w:rFonts w:ascii="Times New Roman" w:hAnsi="Times New Roman"/>
          <w:color w:val="auto"/>
          <w:szCs w:val="21"/>
          <w:highlight w:val="none"/>
        </w:rPr>
        <w:t>（盖章）</w:t>
      </w:r>
    </w:p>
    <w:p>
      <w:pPr>
        <w:spacing w:before="156" w:beforeLines="50" w:after="156" w:afterLines="50" w:line="276" w:lineRule="auto"/>
        <w:rPr>
          <w:rFonts w:ascii="Times New Roman" w:hAnsi="Times New Roman"/>
          <w:color w:val="auto"/>
          <w:szCs w:val="21"/>
          <w:highlight w:val="none"/>
        </w:rPr>
      </w:pPr>
      <w:r>
        <w:rPr>
          <w:rFonts w:ascii="Times New Roman" w:hAnsi="Times New Roman"/>
          <w:color w:val="auto"/>
          <w:szCs w:val="21"/>
          <w:highlight w:val="none"/>
        </w:rPr>
        <w:t>法定代表人或授权代表：                     法定代表人或授权代表：</w:t>
      </w:r>
    </w:p>
    <w:p>
      <w:pPr>
        <w:widowControl/>
        <w:spacing w:before="156" w:beforeLines="50" w:after="156" w:afterLines="50" w:line="276" w:lineRule="auto"/>
        <w:jc w:val="left"/>
        <w:rPr>
          <w:rFonts w:ascii="Times New Roman" w:hAnsi="Times New Roman"/>
          <w:color w:val="auto"/>
          <w:sz w:val="24"/>
          <w:highlight w:val="none"/>
        </w:rPr>
      </w:pPr>
      <w:r>
        <w:rPr>
          <w:rFonts w:ascii="Times New Roman" w:hAnsi="Times New Roman"/>
          <w:color w:val="auto"/>
          <w:szCs w:val="21"/>
          <w:highlight w:val="none"/>
        </w:rPr>
        <w:t>签订日期：</w:t>
      </w:r>
      <w:r>
        <w:rPr>
          <w:rFonts w:hint="eastAsia" w:ascii="Times New Roman" w:hAnsi="Times New Roman"/>
          <w:color w:val="auto"/>
          <w:szCs w:val="21"/>
          <w:highlight w:val="none"/>
          <w:lang w:val="en-US" w:eastAsia="zh-CN"/>
        </w:rPr>
        <w:t xml:space="preserve">   </w:t>
      </w:r>
      <w:r>
        <w:rPr>
          <w:rFonts w:ascii="Times New Roman" w:hAnsi="Times New Roman"/>
          <w:color w:val="auto"/>
          <w:szCs w:val="21"/>
          <w:highlight w:val="none"/>
        </w:rPr>
        <w:t xml:space="preserve">年 </w:t>
      </w:r>
      <w:r>
        <w:rPr>
          <w:rFonts w:hint="eastAsia" w:ascii="Times New Roman" w:hAnsi="Times New Roman"/>
          <w:color w:val="auto"/>
          <w:szCs w:val="21"/>
          <w:highlight w:val="none"/>
          <w:lang w:val="en-US" w:eastAsia="zh-CN"/>
        </w:rPr>
        <w:t xml:space="preserve">  </w:t>
      </w:r>
      <w:r>
        <w:rPr>
          <w:rFonts w:ascii="Times New Roman" w:hAnsi="Times New Roman"/>
          <w:color w:val="auto"/>
          <w:szCs w:val="21"/>
          <w:highlight w:val="none"/>
        </w:rPr>
        <w:t xml:space="preserve"> 月</w:t>
      </w:r>
      <w:r>
        <w:rPr>
          <w:rFonts w:hint="eastAsia" w:ascii="Times New Roman" w:hAnsi="Times New Roman"/>
          <w:color w:val="auto"/>
          <w:szCs w:val="21"/>
          <w:highlight w:val="none"/>
          <w:lang w:val="en-US" w:eastAsia="zh-CN"/>
        </w:rPr>
        <w:t xml:space="preserve">   </w:t>
      </w:r>
      <w:r>
        <w:rPr>
          <w:rFonts w:ascii="Times New Roman" w:hAnsi="Times New Roman"/>
          <w:color w:val="auto"/>
          <w:szCs w:val="21"/>
          <w:highlight w:val="none"/>
        </w:rPr>
        <w:t xml:space="preserve"> 日                签订日期：</w:t>
      </w:r>
      <w:r>
        <w:rPr>
          <w:rFonts w:hint="eastAsia" w:ascii="Times New Roman" w:hAnsi="Times New Roman"/>
          <w:color w:val="auto"/>
          <w:szCs w:val="21"/>
          <w:highlight w:val="none"/>
          <w:lang w:val="en-US" w:eastAsia="zh-CN"/>
        </w:rPr>
        <w:t xml:space="preserve">    </w:t>
      </w:r>
      <w:r>
        <w:rPr>
          <w:rFonts w:ascii="Times New Roman" w:hAnsi="Times New Roman"/>
          <w:color w:val="auto"/>
          <w:szCs w:val="21"/>
          <w:highlight w:val="none"/>
        </w:rPr>
        <w:t xml:space="preserve">年 </w:t>
      </w:r>
      <w:r>
        <w:rPr>
          <w:rFonts w:hint="eastAsia" w:ascii="Times New Roman" w:hAnsi="Times New Roman"/>
          <w:color w:val="auto"/>
          <w:szCs w:val="21"/>
          <w:highlight w:val="none"/>
          <w:lang w:val="en-US" w:eastAsia="zh-CN"/>
        </w:rPr>
        <w:t xml:space="preserve">  </w:t>
      </w:r>
      <w:r>
        <w:rPr>
          <w:rFonts w:ascii="Times New Roman" w:hAnsi="Times New Roman"/>
          <w:color w:val="auto"/>
          <w:szCs w:val="21"/>
          <w:highlight w:val="none"/>
        </w:rPr>
        <w:t xml:space="preserve"> 月 </w:t>
      </w:r>
      <w:r>
        <w:rPr>
          <w:rFonts w:hint="eastAsia" w:ascii="Times New Roman" w:hAnsi="Times New Roman"/>
          <w:color w:val="auto"/>
          <w:szCs w:val="21"/>
          <w:highlight w:val="none"/>
          <w:lang w:val="en-US" w:eastAsia="zh-CN"/>
        </w:rPr>
        <w:t xml:space="preserve">  </w:t>
      </w:r>
      <w:r>
        <w:rPr>
          <w:rFonts w:ascii="Times New Roman" w:hAnsi="Times New Roman"/>
          <w:color w:val="auto"/>
          <w:szCs w:val="21"/>
          <w:highlight w:val="none"/>
        </w:rPr>
        <w:t xml:space="preserve"> 日</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Sans Serif">
    <w:panose1 w:val="020B0604020202020204"/>
    <w:charset w:val="00"/>
    <w:family w:val="swiss"/>
    <w:pitch w:val="default"/>
    <w:sig w:usb0="E5002EFF" w:usb1="C000605B" w:usb2="00000029" w:usb3="00000000" w:csb0="200101FF" w:csb1="2028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ascii="宋体" w:hAnsi="宋体"/>
      </w:rPr>
      <w:t>第</w:t>
    </w:r>
    <w:r>
      <w:rPr>
        <w:rFonts w:ascii="宋体" w:hAnsi="宋体"/>
        <w:bCs/>
      </w:rPr>
      <w:fldChar w:fldCharType="begin"/>
    </w:r>
    <w:r>
      <w:rPr>
        <w:rFonts w:ascii="宋体" w:hAnsi="宋体"/>
        <w:bCs/>
      </w:rPr>
      <w:instrText xml:space="preserve">PAGE</w:instrText>
    </w:r>
    <w:r>
      <w:rPr>
        <w:rFonts w:ascii="宋体" w:hAnsi="宋体"/>
        <w:bCs/>
      </w:rPr>
      <w:fldChar w:fldCharType="separate"/>
    </w:r>
    <w:r>
      <w:rPr>
        <w:rFonts w:ascii="宋体" w:hAnsi="宋体"/>
        <w:bCs/>
      </w:rPr>
      <w:t>3</w:t>
    </w:r>
    <w:r>
      <w:rPr>
        <w:rFonts w:ascii="宋体" w:hAnsi="宋体"/>
        <w:bCs/>
      </w:rPr>
      <w:fldChar w:fldCharType="end"/>
    </w:r>
    <w:r>
      <w:rPr>
        <w:rFonts w:hint="eastAsia" w:ascii="宋体" w:hAnsi="宋体"/>
        <w:bCs/>
      </w:rPr>
      <w:t>页，</w:t>
    </w:r>
    <w:r>
      <w:rPr>
        <w:rFonts w:hint="eastAsia" w:ascii="宋体" w:hAnsi="宋体"/>
        <w:lang w:val="zh-CN"/>
      </w:rPr>
      <w:t>共</w:t>
    </w:r>
    <w:r>
      <w:rPr>
        <w:rFonts w:ascii="宋体" w:hAnsi="宋体"/>
        <w:bCs/>
      </w:rPr>
      <w:fldChar w:fldCharType="begin"/>
    </w:r>
    <w:r>
      <w:rPr>
        <w:rFonts w:ascii="宋体" w:hAnsi="宋体"/>
        <w:bCs/>
      </w:rPr>
      <w:instrText xml:space="preserve">NUMPAGES</w:instrText>
    </w:r>
    <w:r>
      <w:rPr>
        <w:rFonts w:ascii="宋体" w:hAnsi="宋体"/>
        <w:bCs/>
      </w:rPr>
      <w:fldChar w:fldCharType="separate"/>
    </w:r>
    <w:r>
      <w:rPr>
        <w:rFonts w:ascii="宋体" w:hAnsi="宋体"/>
        <w:bCs/>
      </w:rPr>
      <w:t>12</w:t>
    </w:r>
    <w:r>
      <w:rPr>
        <w:rFonts w:ascii="宋体" w:hAnsi="宋体"/>
        <w:bCs/>
      </w:rPr>
      <w:fldChar w:fldCharType="end"/>
    </w:r>
    <w:r>
      <w:rPr>
        <w:rFonts w:hint="eastAsia" w:ascii="宋体" w:hAnsi="宋体"/>
        <w:bCs/>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6" w:space="0"/>
      </w:pBdr>
      <w:jc w:val="right"/>
      <w:rPr>
        <w:rFonts w:ascii="宋体"/>
      </w:rPr>
    </w:pPr>
    <w:r>
      <w:drawing>
        <wp:anchor distT="0" distB="0" distL="114300" distR="114300" simplePos="0" relativeHeight="251659264" behindDoc="0" locked="0" layoutInCell="1" allowOverlap="1">
          <wp:simplePos x="0" y="0"/>
          <wp:positionH relativeFrom="margin">
            <wp:posOffset>5114290</wp:posOffset>
          </wp:positionH>
          <wp:positionV relativeFrom="paragraph">
            <wp:posOffset>-60960</wp:posOffset>
          </wp:positionV>
          <wp:extent cx="1288415" cy="377190"/>
          <wp:effectExtent l="0" t="0" r="6985" b="3810"/>
          <wp:wrapNone/>
          <wp:docPr id="1" name="图片 1" descr="/Users/tangshiquan/Documents/运荔枝/2022年品牌资料/2022版本运荔枝logo/运荔枝logo3.0（终版）v2曲-06.png运荔枝logo3.0（终版）v2曲-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tangshiquan/Documents/运荔枝/2022年品牌资料/2022版本运荔枝logo/运荔枝logo3.0（终版）v2曲-06.png运荔枝logo3.0（终版）v2曲-06"/>
                  <pic:cNvPicPr>
                    <a:picLocks noChangeAspect="1" noChangeArrowheads="1"/>
                  </pic:cNvPicPr>
                </pic:nvPicPr>
                <pic:blipFill>
                  <a:blip r:embed="rId1"/>
                  <a:srcRect/>
                  <a:stretch>
                    <a:fillRect/>
                  </a:stretch>
                </pic:blipFill>
                <pic:spPr>
                  <a:xfrm>
                    <a:off x="0" y="0"/>
                    <a:ext cx="1288415" cy="3771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080674"/>
    <w:multiLevelType w:val="singleLevel"/>
    <w:tmpl w:val="44080674"/>
    <w:lvl w:ilvl="0" w:tentative="0">
      <w:start w:val="2"/>
      <w:numFmt w:val="chineseCounting"/>
      <w:suff w:val="nothing"/>
      <w:lvlText w:val="%1、"/>
      <w:lvlJc w:val="left"/>
      <w:rPr>
        <w:rFonts w:hint="eastAsia"/>
      </w:rPr>
    </w:lvl>
  </w:abstractNum>
  <w:abstractNum w:abstractNumId="1">
    <w:nsid w:val="45B57E2A"/>
    <w:multiLevelType w:val="multilevel"/>
    <w:tmpl w:val="45B57E2A"/>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rPr>
        <w:rFonts w:hint="default" w:ascii="Calibri" w:hAnsi="Calibri" w:cs="Calibri"/>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BhNjQ0OTU3MmQyZWNiMWJlZjRiYjkwMzU2MGE0ODMifQ=="/>
    <w:docVar w:name="KSO_WPS_MARK_KEY" w:val="685bee5e-b2f7-4f63-b410-8a23e328db35"/>
  </w:docVars>
  <w:rsids>
    <w:rsidRoot w:val="004D5598"/>
    <w:rsid w:val="00005310"/>
    <w:rsid w:val="0000655F"/>
    <w:rsid w:val="00013A05"/>
    <w:rsid w:val="000214AC"/>
    <w:rsid w:val="00031015"/>
    <w:rsid w:val="00033003"/>
    <w:rsid w:val="0003545D"/>
    <w:rsid w:val="00037932"/>
    <w:rsid w:val="00041CC8"/>
    <w:rsid w:val="00043A81"/>
    <w:rsid w:val="00050F46"/>
    <w:rsid w:val="00051907"/>
    <w:rsid w:val="00053B93"/>
    <w:rsid w:val="00067BFE"/>
    <w:rsid w:val="00072264"/>
    <w:rsid w:val="00072CA4"/>
    <w:rsid w:val="00074F3D"/>
    <w:rsid w:val="0008103D"/>
    <w:rsid w:val="000865AB"/>
    <w:rsid w:val="00090F69"/>
    <w:rsid w:val="000A2955"/>
    <w:rsid w:val="000A6D2B"/>
    <w:rsid w:val="000B0D35"/>
    <w:rsid w:val="000B3135"/>
    <w:rsid w:val="000B75CD"/>
    <w:rsid w:val="000C1531"/>
    <w:rsid w:val="000C6B30"/>
    <w:rsid w:val="000D148E"/>
    <w:rsid w:val="000D2512"/>
    <w:rsid w:val="000D2DB6"/>
    <w:rsid w:val="000D3430"/>
    <w:rsid w:val="000D53CE"/>
    <w:rsid w:val="000E0C5E"/>
    <w:rsid w:val="000E4F27"/>
    <w:rsid w:val="000E4F8A"/>
    <w:rsid w:val="000E7C62"/>
    <w:rsid w:val="000F14B4"/>
    <w:rsid w:val="000F5526"/>
    <w:rsid w:val="000F55FB"/>
    <w:rsid w:val="00100833"/>
    <w:rsid w:val="00104412"/>
    <w:rsid w:val="00135FB0"/>
    <w:rsid w:val="001412F8"/>
    <w:rsid w:val="00143FDA"/>
    <w:rsid w:val="001516FC"/>
    <w:rsid w:val="00155F8A"/>
    <w:rsid w:val="00156767"/>
    <w:rsid w:val="0016165C"/>
    <w:rsid w:val="001653CA"/>
    <w:rsid w:val="00176DC4"/>
    <w:rsid w:val="0018501F"/>
    <w:rsid w:val="00194A40"/>
    <w:rsid w:val="001956A4"/>
    <w:rsid w:val="001A0BAB"/>
    <w:rsid w:val="001A471E"/>
    <w:rsid w:val="001B186C"/>
    <w:rsid w:val="001B2DD1"/>
    <w:rsid w:val="001B4A73"/>
    <w:rsid w:val="001C08F9"/>
    <w:rsid w:val="001C5700"/>
    <w:rsid w:val="001E00E0"/>
    <w:rsid w:val="001E6074"/>
    <w:rsid w:val="001F0A01"/>
    <w:rsid w:val="001F15FF"/>
    <w:rsid w:val="001F1EDB"/>
    <w:rsid w:val="00200BD2"/>
    <w:rsid w:val="00204057"/>
    <w:rsid w:val="0020614E"/>
    <w:rsid w:val="002125FB"/>
    <w:rsid w:val="002255F1"/>
    <w:rsid w:val="00226E81"/>
    <w:rsid w:val="00235C72"/>
    <w:rsid w:val="002370E7"/>
    <w:rsid w:val="00242845"/>
    <w:rsid w:val="00251F11"/>
    <w:rsid w:val="0025495B"/>
    <w:rsid w:val="00256FB0"/>
    <w:rsid w:val="0026037A"/>
    <w:rsid w:val="00262AB3"/>
    <w:rsid w:val="00263350"/>
    <w:rsid w:val="00266E89"/>
    <w:rsid w:val="0026746B"/>
    <w:rsid w:val="00271F1D"/>
    <w:rsid w:val="00274DAA"/>
    <w:rsid w:val="00295BAB"/>
    <w:rsid w:val="0029622C"/>
    <w:rsid w:val="002A7B16"/>
    <w:rsid w:val="002B1149"/>
    <w:rsid w:val="002B3C4D"/>
    <w:rsid w:val="002B76B9"/>
    <w:rsid w:val="002C360E"/>
    <w:rsid w:val="002C52E3"/>
    <w:rsid w:val="002D3788"/>
    <w:rsid w:val="002E00A8"/>
    <w:rsid w:val="002E7484"/>
    <w:rsid w:val="002F2653"/>
    <w:rsid w:val="002F2E29"/>
    <w:rsid w:val="002F66A4"/>
    <w:rsid w:val="00307341"/>
    <w:rsid w:val="003125A0"/>
    <w:rsid w:val="0032310B"/>
    <w:rsid w:val="00324AD0"/>
    <w:rsid w:val="003267D2"/>
    <w:rsid w:val="003300FE"/>
    <w:rsid w:val="0034004C"/>
    <w:rsid w:val="00340A02"/>
    <w:rsid w:val="00340DDE"/>
    <w:rsid w:val="00345A8A"/>
    <w:rsid w:val="00350302"/>
    <w:rsid w:val="00354345"/>
    <w:rsid w:val="00357A2F"/>
    <w:rsid w:val="0037394F"/>
    <w:rsid w:val="003861F1"/>
    <w:rsid w:val="00386AF8"/>
    <w:rsid w:val="00392FF4"/>
    <w:rsid w:val="00394634"/>
    <w:rsid w:val="00395353"/>
    <w:rsid w:val="003A253C"/>
    <w:rsid w:val="003A5A82"/>
    <w:rsid w:val="003B04DD"/>
    <w:rsid w:val="003B4102"/>
    <w:rsid w:val="003B440B"/>
    <w:rsid w:val="003B44F1"/>
    <w:rsid w:val="003C5C86"/>
    <w:rsid w:val="003C7AFA"/>
    <w:rsid w:val="003D2760"/>
    <w:rsid w:val="003D40E9"/>
    <w:rsid w:val="003D76BE"/>
    <w:rsid w:val="003E2DBA"/>
    <w:rsid w:val="003F27D4"/>
    <w:rsid w:val="004001C1"/>
    <w:rsid w:val="004007E7"/>
    <w:rsid w:val="00403D74"/>
    <w:rsid w:val="004134DE"/>
    <w:rsid w:val="00417467"/>
    <w:rsid w:val="00423E5B"/>
    <w:rsid w:val="00433B4E"/>
    <w:rsid w:val="00436AD5"/>
    <w:rsid w:val="00441BA9"/>
    <w:rsid w:val="00445038"/>
    <w:rsid w:val="0047618B"/>
    <w:rsid w:val="00484A50"/>
    <w:rsid w:val="00487A46"/>
    <w:rsid w:val="0049456D"/>
    <w:rsid w:val="004A0396"/>
    <w:rsid w:val="004A5224"/>
    <w:rsid w:val="004A6DB0"/>
    <w:rsid w:val="004B157D"/>
    <w:rsid w:val="004B32E3"/>
    <w:rsid w:val="004C345C"/>
    <w:rsid w:val="004C4A8A"/>
    <w:rsid w:val="004C6A5B"/>
    <w:rsid w:val="004D4EE3"/>
    <w:rsid w:val="004D5598"/>
    <w:rsid w:val="004D660F"/>
    <w:rsid w:val="004E237E"/>
    <w:rsid w:val="004E2446"/>
    <w:rsid w:val="00504A51"/>
    <w:rsid w:val="005079EC"/>
    <w:rsid w:val="00512F7B"/>
    <w:rsid w:val="00514D7F"/>
    <w:rsid w:val="00514DE3"/>
    <w:rsid w:val="00520C51"/>
    <w:rsid w:val="00521DE3"/>
    <w:rsid w:val="00523394"/>
    <w:rsid w:val="00525D95"/>
    <w:rsid w:val="00533ADA"/>
    <w:rsid w:val="00562E3A"/>
    <w:rsid w:val="00563A74"/>
    <w:rsid w:val="00564BBF"/>
    <w:rsid w:val="005652A0"/>
    <w:rsid w:val="005917C1"/>
    <w:rsid w:val="00591F29"/>
    <w:rsid w:val="005921FE"/>
    <w:rsid w:val="005A3A86"/>
    <w:rsid w:val="005A53A0"/>
    <w:rsid w:val="005B1124"/>
    <w:rsid w:val="005B66A7"/>
    <w:rsid w:val="005D7F92"/>
    <w:rsid w:val="005E7038"/>
    <w:rsid w:val="005E7ECA"/>
    <w:rsid w:val="005F7B91"/>
    <w:rsid w:val="00622FAA"/>
    <w:rsid w:val="00635FE9"/>
    <w:rsid w:val="00636C21"/>
    <w:rsid w:val="00642B55"/>
    <w:rsid w:val="0064463A"/>
    <w:rsid w:val="00656253"/>
    <w:rsid w:val="006620D9"/>
    <w:rsid w:val="0067045D"/>
    <w:rsid w:val="00670650"/>
    <w:rsid w:val="006766AA"/>
    <w:rsid w:val="00693C64"/>
    <w:rsid w:val="006A0D66"/>
    <w:rsid w:val="006A59C5"/>
    <w:rsid w:val="006A6501"/>
    <w:rsid w:val="006A73AE"/>
    <w:rsid w:val="006A7901"/>
    <w:rsid w:val="006B0BE6"/>
    <w:rsid w:val="006B2148"/>
    <w:rsid w:val="006C53D2"/>
    <w:rsid w:val="006C5A52"/>
    <w:rsid w:val="006D0B23"/>
    <w:rsid w:val="006D188C"/>
    <w:rsid w:val="006E1A38"/>
    <w:rsid w:val="006E244E"/>
    <w:rsid w:val="006F363E"/>
    <w:rsid w:val="006F5ABB"/>
    <w:rsid w:val="006F62C1"/>
    <w:rsid w:val="00707CF6"/>
    <w:rsid w:val="007144B2"/>
    <w:rsid w:val="007262C5"/>
    <w:rsid w:val="0073101B"/>
    <w:rsid w:val="00735947"/>
    <w:rsid w:val="00742DEE"/>
    <w:rsid w:val="00747430"/>
    <w:rsid w:val="007500CD"/>
    <w:rsid w:val="00750CDE"/>
    <w:rsid w:val="007605C8"/>
    <w:rsid w:val="00760DBE"/>
    <w:rsid w:val="00767BA9"/>
    <w:rsid w:val="00767EBE"/>
    <w:rsid w:val="00772D1A"/>
    <w:rsid w:val="00797564"/>
    <w:rsid w:val="007A1DFB"/>
    <w:rsid w:val="007A65CF"/>
    <w:rsid w:val="007B609D"/>
    <w:rsid w:val="007C7F78"/>
    <w:rsid w:val="007D0A82"/>
    <w:rsid w:val="007D1296"/>
    <w:rsid w:val="007E2B54"/>
    <w:rsid w:val="007E40F3"/>
    <w:rsid w:val="007E6C85"/>
    <w:rsid w:val="007F061E"/>
    <w:rsid w:val="007F0C3E"/>
    <w:rsid w:val="007F0DED"/>
    <w:rsid w:val="007F1976"/>
    <w:rsid w:val="007F6F8C"/>
    <w:rsid w:val="00802421"/>
    <w:rsid w:val="00803ECD"/>
    <w:rsid w:val="00804BA8"/>
    <w:rsid w:val="008072C7"/>
    <w:rsid w:val="008126D9"/>
    <w:rsid w:val="00820878"/>
    <w:rsid w:val="00825C6C"/>
    <w:rsid w:val="008305DD"/>
    <w:rsid w:val="008308EC"/>
    <w:rsid w:val="008336B3"/>
    <w:rsid w:val="00835F07"/>
    <w:rsid w:val="00840FEB"/>
    <w:rsid w:val="00842E56"/>
    <w:rsid w:val="00844BFC"/>
    <w:rsid w:val="008512B6"/>
    <w:rsid w:val="00853207"/>
    <w:rsid w:val="00864775"/>
    <w:rsid w:val="0087511B"/>
    <w:rsid w:val="00875E3A"/>
    <w:rsid w:val="00876A58"/>
    <w:rsid w:val="00891B83"/>
    <w:rsid w:val="008A2530"/>
    <w:rsid w:val="008A558E"/>
    <w:rsid w:val="008A5FAA"/>
    <w:rsid w:val="008A7671"/>
    <w:rsid w:val="008B40DF"/>
    <w:rsid w:val="008C464A"/>
    <w:rsid w:val="008C48DB"/>
    <w:rsid w:val="008D3192"/>
    <w:rsid w:val="008E0B56"/>
    <w:rsid w:val="008E53FA"/>
    <w:rsid w:val="008F00FB"/>
    <w:rsid w:val="008F7D7F"/>
    <w:rsid w:val="00900013"/>
    <w:rsid w:val="009025EF"/>
    <w:rsid w:val="00903AB2"/>
    <w:rsid w:val="00904E01"/>
    <w:rsid w:val="00905ADC"/>
    <w:rsid w:val="00907579"/>
    <w:rsid w:val="0091009A"/>
    <w:rsid w:val="00916CDE"/>
    <w:rsid w:val="00921BFD"/>
    <w:rsid w:val="00922999"/>
    <w:rsid w:val="009242C1"/>
    <w:rsid w:val="00927517"/>
    <w:rsid w:val="00934E16"/>
    <w:rsid w:val="00941BA0"/>
    <w:rsid w:val="00945698"/>
    <w:rsid w:val="00953F96"/>
    <w:rsid w:val="0095714B"/>
    <w:rsid w:val="009670A2"/>
    <w:rsid w:val="00970CFC"/>
    <w:rsid w:val="009766CE"/>
    <w:rsid w:val="00977AC7"/>
    <w:rsid w:val="00982663"/>
    <w:rsid w:val="009857FE"/>
    <w:rsid w:val="009915C8"/>
    <w:rsid w:val="00997477"/>
    <w:rsid w:val="009A0E1D"/>
    <w:rsid w:val="009A6121"/>
    <w:rsid w:val="009E1980"/>
    <w:rsid w:val="009E36B8"/>
    <w:rsid w:val="009E5F28"/>
    <w:rsid w:val="009F09B1"/>
    <w:rsid w:val="00A07F8D"/>
    <w:rsid w:val="00A10244"/>
    <w:rsid w:val="00A1565B"/>
    <w:rsid w:val="00A166E4"/>
    <w:rsid w:val="00A230C3"/>
    <w:rsid w:val="00A31072"/>
    <w:rsid w:val="00A319CB"/>
    <w:rsid w:val="00A33461"/>
    <w:rsid w:val="00A37ED6"/>
    <w:rsid w:val="00A475C7"/>
    <w:rsid w:val="00A51638"/>
    <w:rsid w:val="00A520C6"/>
    <w:rsid w:val="00A571C3"/>
    <w:rsid w:val="00A6066E"/>
    <w:rsid w:val="00A62D0F"/>
    <w:rsid w:val="00A6438A"/>
    <w:rsid w:val="00A67A9F"/>
    <w:rsid w:val="00A73387"/>
    <w:rsid w:val="00A855BD"/>
    <w:rsid w:val="00A8576C"/>
    <w:rsid w:val="00A94328"/>
    <w:rsid w:val="00AA616F"/>
    <w:rsid w:val="00AA6D0E"/>
    <w:rsid w:val="00AB6F08"/>
    <w:rsid w:val="00AB7911"/>
    <w:rsid w:val="00AC0F40"/>
    <w:rsid w:val="00AC2068"/>
    <w:rsid w:val="00AC55A3"/>
    <w:rsid w:val="00AD4D8E"/>
    <w:rsid w:val="00AE2A6E"/>
    <w:rsid w:val="00AE7203"/>
    <w:rsid w:val="00AF4706"/>
    <w:rsid w:val="00B047ED"/>
    <w:rsid w:val="00B05D50"/>
    <w:rsid w:val="00B20BE5"/>
    <w:rsid w:val="00B32709"/>
    <w:rsid w:val="00B35643"/>
    <w:rsid w:val="00B41A2A"/>
    <w:rsid w:val="00B45AE0"/>
    <w:rsid w:val="00B57222"/>
    <w:rsid w:val="00B63E41"/>
    <w:rsid w:val="00B63EA6"/>
    <w:rsid w:val="00B70CD3"/>
    <w:rsid w:val="00B84033"/>
    <w:rsid w:val="00B902B5"/>
    <w:rsid w:val="00B95CC7"/>
    <w:rsid w:val="00BA1EE6"/>
    <w:rsid w:val="00BA42D4"/>
    <w:rsid w:val="00BC2295"/>
    <w:rsid w:val="00BC72C5"/>
    <w:rsid w:val="00BD3ABA"/>
    <w:rsid w:val="00BE1F47"/>
    <w:rsid w:val="00BE2049"/>
    <w:rsid w:val="00BF4E03"/>
    <w:rsid w:val="00C00945"/>
    <w:rsid w:val="00C058D0"/>
    <w:rsid w:val="00C05C35"/>
    <w:rsid w:val="00C22D9B"/>
    <w:rsid w:val="00C23A3B"/>
    <w:rsid w:val="00C322C0"/>
    <w:rsid w:val="00C40633"/>
    <w:rsid w:val="00C44A60"/>
    <w:rsid w:val="00C44C86"/>
    <w:rsid w:val="00C45737"/>
    <w:rsid w:val="00C52427"/>
    <w:rsid w:val="00C52E8E"/>
    <w:rsid w:val="00C573E6"/>
    <w:rsid w:val="00C60E89"/>
    <w:rsid w:val="00C61CA3"/>
    <w:rsid w:val="00C627CB"/>
    <w:rsid w:val="00C64CF2"/>
    <w:rsid w:val="00C72ECB"/>
    <w:rsid w:val="00C74BC3"/>
    <w:rsid w:val="00C85047"/>
    <w:rsid w:val="00C86426"/>
    <w:rsid w:val="00C86776"/>
    <w:rsid w:val="00C868BD"/>
    <w:rsid w:val="00C87EC2"/>
    <w:rsid w:val="00C934CE"/>
    <w:rsid w:val="00C952CE"/>
    <w:rsid w:val="00CA0692"/>
    <w:rsid w:val="00CA3108"/>
    <w:rsid w:val="00CA342D"/>
    <w:rsid w:val="00CA4302"/>
    <w:rsid w:val="00CA4398"/>
    <w:rsid w:val="00CC179B"/>
    <w:rsid w:val="00CD0EE2"/>
    <w:rsid w:val="00CD60F7"/>
    <w:rsid w:val="00CD6758"/>
    <w:rsid w:val="00CE72D7"/>
    <w:rsid w:val="00CF23F6"/>
    <w:rsid w:val="00CF52CC"/>
    <w:rsid w:val="00D04D0F"/>
    <w:rsid w:val="00D06C2D"/>
    <w:rsid w:val="00D07BB4"/>
    <w:rsid w:val="00D10BCF"/>
    <w:rsid w:val="00D154B4"/>
    <w:rsid w:val="00D21F5F"/>
    <w:rsid w:val="00D23D86"/>
    <w:rsid w:val="00D24E12"/>
    <w:rsid w:val="00D43768"/>
    <w:rsid w:val="00D5128D"/>
    <w:rsid w:val="00D61684"/>
    <w:rsid w:val="00D8493B"/>
    <w:rsid w:val="00DA3D39"/>
    <w:rsid w:val="00DA47FC"/>
    <w:rsid w:val="00DA7DDD"/>
    <w:rsid w:val="00DB1769"/>
    <w:rsid w:val="00DB5560"/>
    <w:rsid w:val="00DC529B"/>
    <w:rsid w:val="00DD2C08"/>
    <w:rsid w:val="00DE3424"/>
    <w:rsid w:val="00DE3F6E"/>
    <w:rsid w:val="00DE7008"/>
    <w:rsid w:val="00E13199"/>
    <w:rsid w:val="00E1331D"/>
    <w:rsid w:val="00E153E4"/>
    <w:rsid w:val="00E25699"/>
    <w:rsid w:val="00E27966"/>
    <w:rsid w:val="00E30234"/>
    <w:rsid w:val="00E32EFB"/>
    <w:rsid w:val="00E33C50"/>
    <w:rsid w:val="00E370D3"/>
    <w:rsid w:val="00E378DD"/>
    <w:rsid w:val="00E4480E"/>
    <w:rsid w:val="00E50BD2"/>
    <w:rsid w:val="00E64FE7"/>
    <w:rsid w:val="00E672FE"/>
    <w:rsid w:val="00E71D02"/>
    <w:rsid w:val="00E81BD6"/>
    <w:rsid w:val="00E927A2"/>
    <w:rsid w:val="00EC2D00"/>
    <w:rsid w:val="00EC4C90"/>
    <w:rsid w:val="00ED1BFD"/>
    <w:rsid w:val="00ED4466"/>
    <w:rsid w:val="00EE5BCD"/>
    <w:rsid w:val="00F02B5E"/>
    <w:rsid w:val="00F12002"/>
    <w:rsid w:val="00F15F6C"/>
    <w:rsid w:val="00F3551E"/>
    <w:rsid w:val="00F52C7F"/>
    <w:rsid w:val="00F56A03"/>
    <w:rsid w:val="00F63733"/>
    <w:rsid w:val="00F63E69"/>
    <w:rsid w:val="00F6594A"/>
    <w:rsid w:val="00F70A62"/>
    <w:rsid w:val="00F74C89"/>
    <w:rsid w:val="00F8378C"/>
    <w:rsid w:val="00F8463E"/>
    <w:rsid w:val="00F84A13"/>
    <w:rsid w:val="00F924F7"/>
    <w:rsid w:val="00F97A44"/>
    <w:rsid w:val="00F97A85"/>
    <w:rsid w:val="00FA0914"/>
    <w:rsid w:val="00FA1D29"/>
    <w:rsid w:val="00FA3603"/>
    <w:rsid w:val="00FC15B7"/>
    <w:rsid w:val="00FC44A4"/>
    <w:rsid w:val="00FC4B3D"/>
    <w:rsid w:val="00FD101A"/>
    <w:rsid w:val="00FE0C7E"/>
    <w:rsid w:val="00FE256D"/>
    <w:rsid w:val="00FE3664"/>
    <w:rsid w:val="00FE6F6C"/>
    <w:rsid w:val="00FF24CC"/>
    <w:rsid w:val="00FF79A0"/>
    <w:rsid w:val="02720538"/>
    <w:rsid w:val="03616BAA"/>
    <w:rsid w:val="036B3E7A"/>
    <w:rsid w:val="03B7227C"/>
    <w:rsid w:val="04F779CB"/>
    <w:rsid w:val="082F4AD6"/>
    <w:rsid w:val="0A0715B3"/>
    <w:rsid w:val="0B7C0033"/>
    <w:rsid w:val="0BA802A4"/>
    <w:rsid w:val="0D3D0A41"/>
    <w:rsid w:val="0F0F7410"/>
    <w:rsid w:val="10A51D25"/>
    <w:rsid w:val="11E52233"/>
    <w:rsid w:val="12ED258C"/>
    <w:rsid w:val="14027543"/>
    <w:rsid w:val="15FC5E6A"/>
    <w:rsid w:val="19F005C1"/>
    <w:rsid w:val="1C9226E7"/>
    <w:rsid w:val="20745325"/>
    <w:rsid w:val="207E578C"/>
    <w:rsid w:val="24D14B2A"/>
    <w:rsid w:val="28D0722F"/>
    <w:rsid w:val="2A79181A"/>
    <w:rsid w:val="2E2C723F"/>
    <w:rsid w:val="2E4926F1"/>
    <w:rsid w:val="2F2457B5"/>
    <w:rsid w:val="317C228B"/>
    <w:rsid w:val="35AB1391"/>
    <w:rsid w:val="379F3D5D"/>
    <w:rsid w:val="37A061D0"/>
    <w:rsid w:val="39276F80"/>
    <w:rsid w:val="3B302588"/>
    <w:rsid w:val="3EBD036D"/>
    <w:rsid w:val="3ECA6D2C"/>
    <w:rsid w:val="3EEF4629"/>
    <w:rsid w:val="41DD6D76"/>
    <w:rsid w:val="425C5EED"/>
    <w:rsid w:val="434B1645"/>
    <w:rsid w:val="44166A5A"/>
    <w:rsid w:val="45C73FC5"/>
    <w:rsid w:val="48425B85"/>
    <w:rsid w:val="49920446"/>
    <w:rsid w:val="4B8500C3"/>
    <w:rsid w:val="4DA6738F"/>
    <w:rsid w:val="59BC6009"/>
    <w:rsid w:val="5BEE03D9"/>
    <w:rsid w:val="5BF714F0"/>
    <w:rsid w:val="5C1271C4"/>
    <w:rsid w:val="5C670B3F"/>
    <w:rsid w:val="5C9720C7"/>
    <w:rsid w:val="5D9D1613"/>
    <w:rsid w:val="5E062073"/>
    <w:rsid w:val="5E1A0138"/>
    <w:rsid w:val="5F8D5EE1"/>
    <w:rsid w:val="60BB5A90"/>
    <w:rsid w:val="61B3472D"/>
    <w:rsid w:val="659A720F"/>
    <w:rsid w:val="65CB49B6"/>
    <w:rsid w:val="667A6902"/>
    <w:rsid w:val="67741958"/>
    <w:rsid w:val="6787409E"/>
    <w:rsid w:val="6B5632BC"/>
    <w:rsid w:val="6B5E6AD3"/>
    <w:rsid w:val="6C835BD9"/>
    <w:rsid w:val="6E1B632D"/>
    <w:rsid w:val="6E330C65"/>
    <w:rsid w:val="6E457BF6"/>
    <w:rsid w:val="6E752492"/>
    <w:rsid w:val="6E8126B3"/>
    <w:rsid w:val="6EE52EE1"/>
    <w:rsid w:val="70ED1FC9"/>
    <w:rsid w:val="710A513C"/>
    <w:rsid w:val="74E82A47"/>
    <w:rsid w:val="74F55BA9"/>
    <w:rsid w:val="75111592"/>
    <w:rsid w:val="76ED78FA"/>
    <w:rsid w:val="77277D4B"/>
    <w:rsid w:val="77456248"/>
    <w:rsid w:val="79FD7E58"/>
    <w:rsid w:val="7AC16EAB"/>
    <w:rsid w:val="7B3C0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imes New Roman" w:hAnsi="Times New Roman"/>
      <w:szCs w:val="24"/>
    </w:rPr>
  </w:style>
  <w:style w:type="paragraph" w:styleId="3">
    <w:name w:val="annotation text"/>
    <w:basedOn w:val="1"/>
    <w:link w:val="17"/>
    <w:qFormat/>
    <w:uiPriority w:val="99"/>
    <w:pPr>
      <w:jc w:val="left"/>
    </w:pPr>
  </w:style>
  <w:style w:type="paragraph" w:styleId="4">
    <w:name w:val="Body Text"/>
    <w:basedOn w:val="1"/>
    <w:qFormat/>
    <w:uiPriority w:val="1"/>
    <w:rPr>
      <w:sz w:val="21"/>
      <w:szCs w:val="21"/>
    </w:rPr>
  </w:style>
  <w:style w:type="paragraph" w:styleId="5">
    <w:name w:val="Body Text Indent 2"/>
    <w:basedOn w:val="1"/>
    <w:link w:val="19"/>
    <w:qFormat/>
    <w:uiPriority w:val="99"/>
    <w:pPr>
      <w:spacing w:line="400" w:lineRule="exact"/>
      <w:ind w:left="103"/>
    </w:pPr>
    <w:rPr>
      <w:rFonts w:ascii="宋体" w:hAnsi="Times New Roman"/>
      <w:kern w:val="0"/>
      <w:sz w:val="24"/>
      <w:szCs w:val="20"/>
    </w:rPr>
  </w:style>
  <w:style w:type="paragraph" w:styleId="6">
    <w:name w:val="Balloon Text"/>
    <w:basedOn w:val="1"/>
    <w:link w:val="21"/>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0"/>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000FF"/>
      <w:u w:val="single"/>
    </w:rPr>
  </w:style>
  <w:style w:type="character" w:styleId="14">
    <w:name w:val="annotation reference"/>
    <w:basedOn w:val="12"/>
    <w:semiHidden/>
    <w:unhideWhenUsed/>
    <w:qFormat/>
    <w:uiPriority w:val="99"/>
    <w:rPr>
      <w:sz w:val="21"/>
      <w:szCs w:val="21"/>
    </w:rPr>
  </w:style>
  <w:style w:type="character" w:customStyle="1" w:styleId="15">
    <w:name w:val="Header Char"/>
    <w:basedOn w:val="12"/>
    <w:link w:val="8"/>
    <w:qFormat/>
    <w:uiPriority w:val="99"/>
    <w:rPr>
      <w:sz w:val="18"/>
      <w:szCs w:val="18"/>
    </w:rPr>
  </w:style>
  <w:style w:type="character" w:customStyle="1" w:styleId="16">
    <w:name w:val="Footer Char"/>
    <w:basedOn w:val="12"/>
    <w:link w:val="7"/>
    <w:qFormat/>
    <w:uiPriority w:val="99"/>
    <w:rPr>
      <w:sz w:val="18"/>
      <w:szCs w:val="18"/>
    </w:rPr>
  </w:style>
  <w:style w:type="character" w:customStyle="1" w:styleId="17">
    <w:name w:val="Comment Text Char"/>
    <w:basedOn w:val="12"/>
    <w:link w:val="3"/>
    <w:qFormat/>
    <w:uiPriority w:val="99"/>
    <w:rPr>
      <w:rFonts w:ascii="Calibri" w:hAnsi="Calibri" w:eastAsia="宋体" w:cs="Times New Roman"/>
    </w:rPr>
  </w:style>
  <w:style w:type="paragraph" w:styleId="18">
    <w:name w:val="List Paragraph"/>
    <w:basedOn w:val="1"/>
    <w:qFormat/>
    <w:uiPriority w:val="34"/>
    <w:pPr>
      <w:ind w:firstLine="420" w:firstLineChars="200"/>
    </w:pPr>
  </w:style>
  <w:style w:type="character" w:customStyle="1" w:styleId="19">
    <w:name w:val="Body Text Indent 2 Char"/>
    <w:basedOn w:val="12"/>
    <w:link w:val="5"/>
    <w:qFormat/>
    <w:uiPriority w:val="99"/>
    <w:rPr>
      <w:rFonts w:ascii="宋体" w:hAnsi="Times New Roman" w:eastAsia="宋体" w:cs="Times New Roman"/>
      <w:kern w:val="0"/>
      <w:sz w:val="24"/>
      <w:szCs w:val="20"/>
    </w:rPr>
  </w:style>
  <w:style w:type="character" w:customStyle="1" w:styleId="20">
    <w:name w:val="Comment Subject Char"/>
    <w:basedOn w:val="17"/>
    <w:link w:val="9"/>
    <w:semiHidden/>
    <w:qFormat/>
    <w:uiPriority w:val="99"/>
    <w:rPr>
      <w:rFonts w:ascii="Calibri" w:hAnsi="Calibri" w:eastAsia="宋体" w:cs="Times New Roman"/>
      <w:b/>
      <w:bCs/>
    </w:rPr>
  </w:style>
  <w:style w:type="character" w:customStyle="1" w:styleId="21">
    <w:name w:val="Balloon Text Char"/>
    <w:basedOn w:val="12"/>
    <w:link w:val="6"/>
    <w:semiHidden/>
    <w:qFormat/>
    <w:uiPriority w:val="99"/>
    <w:rPr>
      <w:rFonts w:ascii="Calibri" w:hAnsi="Calibri" w:eastAsia="宋体" w:cs="Times New Roman"/>
      <w:sz w:val="18"/>
      <w:szCs w:val="18"/>
    </w:rPr>
  </w:style>
  <w:style w:type="paragraph" w:customStyle="1" w:styleId="22">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F6B2A-D891-4047-834C-8C912C310903}">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6036</Words>
  <Characters>6299</Characters>
  <Lines>57</Lines>
  <Paragraphs>16</Paragraphs>
  <TotalTime>4</TotalTime>
  <ScaleCrop>false</ScaleCrop>
  <LinksUpToDate>false</LinksUpToDate>
  <CharactersWithSpaces>6798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2019-05-29T06:44:00Z</dcterms:created>
  <dc:creator>Administrator</dc:creator>
  <cp:lastModifiedBy>fresh-scm</cp:lastModifiedBy>
  <dcterms:modified xsi:type="dcterms:W3CDTF">2025-03-24T01:34:57Z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B8924E56699645AD877194401EB77CCE_13</vt:lpwstr>
  </property>
</Properties>
</file>