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运输</w:t>
      </w:r>
      <w:r>
        <w:rPr>
          <w:rFonts w:hint="eastAsia" w:ascii="宋体" w:hAnsi="宋体" w:eastAsia="宋体" w:cs="宋体"/>
          <w:b/>
          <w:bCs/>
          <w:sz w:val="28"/>
          <w:szCs w:val="28"/>
          <w:lang w:eastAsia="zh-CN"/>
        </w:rPr>
        <w:t>服务</w:t>
      </w:r>
      <w:r>
        <w:rPr>
          <w:rFonts w:hint="eastAsia" w:ascii="宋体" w:hAnsi="宋体" w:eastAsia="宋体" w:cs="宋体"/>
          <w:b/>
          <w:bCs/>
          <w:sz w:val="28"/>
          <w:szCs w:val="28"/>
        </w:rPr>
        <w:t>合同</w:t>
      </w:r>
    </w:p>
    <w:p>
      <w:pPr>
        <w:keepNext w:val="0"/>
        <w:keepLines w:val="0"/>
        <w:pageBreakBefore w:val="0"/>
        <w:kinsoku/>
        <w:wordWrap/>
        <w:overflowPunct/>
        <w:topLinePunct w:val="0"/>
        <w:bidi w:val="0"/>
        <w:spacing w:line="360" w:lineRule="exact"/>
        <w:ind w:right="724" w:firstLine="5783" w:firstLineChars="3200"/>
        <w:textAlignment w:val="auto"/>
        <w:rPr>
          <w:rFonts w:hint="eastAsia" w:ascii="宋体" w:hAnsi="宋体" w:eastAsia="宋体" w:cs="宋体"/>
          <w:b/>
          <w:bCs/>
          <w:sz w:val="18"/>
          <w:szCs w:val="18"/>
          <w:u w:val="none"/>
          <w:lang w:eastAsia="zh-CN"/>
        </w:rPr>
      </w:pPr>
      <w:r>
        <w:rPr>
          <w:rFonts w:hint="eastAsia" w:ascii="宋体" w:hAnsi="宋体" w:eastAsia="宋体" w:cs="宋体"/>
          <w:b/>
          <w:bCs/>
          <w:sz w:val="18"/>
          <w:szCs w:val="18"/>
        </w:rPr>
        <w:t>合同编号：</w:t>
      </w:r>
      <w:r>
        <w:rPr>
          <w:rFonts w:hint="eastAsia" w:ascii="宋体" w:hAnsi="宋体" w:eastAsia="宋体" w:cs="宋体"/>
          <w:b/>
          <w:bCs/>
          <w:sz w:val="18"/>
          <w:szCs w:val="18"/>
          <w:u w:val="none"/>
          <w:lang w:eastAsia="zh-CN"/>
        </w:rPr>
        <w:t>【</w:t>
      </w:r>
      <w:r>
        <w:rPr>
          <w:rFonts w:hint="eastAsia" w:ascii="宋体" w:hAnsi="宋体" w:eastAsia="宋体" w:cs="宋体"/>
          <w:b/>
          <w:bCs/>
          <w:sz w:val="18"/>
          <w:szCs w:val="18"/>
          <w:u w:val="none"/>
          <w:lang w:val="en-US" w:eastAsia="zh-CN"/>
        </w:rPr>
        <w:t xml:space="preserve">     </w:t>
      </w:r>
      <w:r>
        <w:rPr>
          <w:rFonts w:hint="eastAsia" w:ascii="宋体" w:hAnsi="宋体" w:eastAsia="宋体" w:cs="宋体"/>
          <w:b/>
          <w:bCs/>
          <w:sz w:val="18"/>
          <w:szCs w:val="18"/>
          <w:u w:val="none"/>
          <w:lang w:eastAsia="zh-CN"/>
        </w:rPr>
        <w:t>】</w:t>
      </w:r>
    </w:p>
    <w:p>
      <w:pPr>
        <w:keepNext w:val="0"/>
        <w:keepLines w:val="0"/>
        <w:pageBreakBefore w:val="0"/>
        <w:kinsoku/>
        <w:wordWrap/>
        <w:overflowPunct/>
        <w:topLinePunct w:val="0"/>
        <w:bidi w:val="0"/>
        <w:spacing w:line="360" w:lineRule="exact"/>
        <w:textAlignment w:val="auto"/>
        <w:rPr>
          <w:rFonts w:hint="eastAsia" w:ascii="宋体" w:hAnsi="宋体" w:eastAsia="宋体" w:cs="宋体"/>
          <w:b/>
          <w:sz w:val="21"/>
          <w:szCs w:val="21"/>
        </w:rPr>
      </w:pPr>
    </w:p>
    <w:p>
      <w:pPr>
        <w:keepNext w:val="0"/>
        <w:keepLines w:val="0"/>
        <w:pageBreakBefore w:val="0"/>
        <w:kinsoku/>
        <w:wordWrap/>
        <w:overflowPunct/>
        <w:topLinePunct w:val="0"/>
        <w:bidi w:val="0"/>
        <w:spacing w:line="360" w:lineRule="exact"/>
        <w:textAlignment w:val="auto"/>
        <w:rPr>
          <w:rFonts w:hint="eastAsia" w:ascii="宋体" w:hAnsi="宋体" w:eastAsia="宋体" w:cs="宋体"/>
          <w:b/>
          <w:sz w:val="21"/>
          <w:szCs w:val="21"/>
          <w:lang w:eastAsia="zh-CN"/>
        </w:rPr>
      </w:pPr>
      <w:r>
        <w:rPr>
          <w:rFonts w:hint="eastAsia" w:ascii="宋体" w:hAnsi="宋体" w:eastAsia="宋体" w:cs="宋体"/>
          <w:b/>
          <w:sz w:val="21"/>
          <w:szCs w:val="21"/>
        </w:rPr>
        <w:t>甲方（托运方）：</w:t>
      </w: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 xml:space="preserve">  鲜生活  </w:t>
      </w:r>
      <w:r>
        <w:rPr>
          <w:rFonts w:hint="eastAsia" w:ascii="宋体" w:hAnsi="宋体" w:eastAsia="宋体" w:cs="宋体"/>
          <w:b/>
          <w:sz w:val="21"/>
          <w:szCs w:val="21"/>
          <w:lang w:eastAsia="zh-CN"/>
        </w:rPr>
        <w:t>】</w:t>
      </w:r>
    </w:p>
    <w:p>
      <w:pPr>
        <w:keepNext w:val="0"/>
        <w:keepLines w:val="0"/>
        <w:pageBreakBefore w:val="0"/>
        <w:tabs>
          <w:tab w:val="left" w:pos="7720"/>
        </w:tabs>
        <w:kinsoku/>
        <w:wordWrap/>
        <w:overflowPunct/>
        <w:topLinePunct w:val="0"/>
        <w:bidi w:val="0"/>
        <w:spacing w:line="360" w:lineRule="exact"/>
        <w:textAlignment w:val="auto"/>
        <w:rPr>
          <w:rFonts w:hint="eastAsia" w:ascii="宋体" w:hAnsi="宋体" w:eastAsia="宋体" w:cs="宋体"/>
          <w:b/>
          <w:sz w:val="21"/>
          <w:szCs w:val="21"/>
          <w:u w:val="single"/>
          <w:lang w:eastAsia="zh-CN"/>
        </w:rPr>
      </w:pPr>
      <w:r>
        <w:rPr>
          <w:rFonts w:hint="eastAsia" w:ascii="宋体" w:hAnsi="宋体" w:eastAsia="宋体" w:cs="宋体"/>
          <w:b/>
          <w:sz w:val="21"/>
          <w:szCs w:val="21"/>
        </w:rPr>
        <w:t>乙方（承运方）：</w:t>
      </w: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lang w:eastAsia="zh-CN"/>
        </w:rPr>
        <w:t>】</w:t>
      </w:r>
    </w:p>
    <w:p>
      <w:pPr>
        <w:keepNext w:val="0"/>
        <w:keepLines w:val="0"/>
        <w:pageBreakBefore w:val="0"/>
        <w:kinsoku/>
        <w:wordWrap/>
        <w:overflowPunct/>
        <w:topLinePunct w:val="0"/>
        <w:bidi w:val="0"/>
        <w:spacing w:line="360" w:lineRule="exact"/>
        <w:textAlignment w:val="auto"/>
        <w:rPr>
          <w:rFonts w:hint="eastAsia" w:ascii="宋体" w:hAnsi="宋体" w:eastAsia="宋体" w:cs="宋体"/>
          <w:b/>
          <w:sz w:val="21"/>
          <w:szCs w:val="21"/>
        </w:rPr>
      </w:pPr>
    </w:p>
    <w:p>
      <w:pPr>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根据中华人民共和国有关法律、法规之规定，甲、乙双方本着平等互利、共同发展的原则, 经友好协商，就乙方承运甲方货物事宜达成一致，特签订本合同以兹共同遵守。</w:t>
      </w:r>
    </w:p>
    <w:p>
      <w:pPr>
        <w:keepNext w:val="0"/>
        <w:keepLines w:val="0"/>
        <w:pageBreakBefore w:val="0"/>
        <w:numPr>
          <w:ilvl w:val="-1"/>
          <w:numId w:val="0"/>
        </w:numPr>
        <w:kinsoku/>
        <w:wordWrap/>
        <w:overflowPunct/>
        <w:topLinePunct w:val="0"/>
        <w:autoSpaceDE w:val="0"/>
        <w:autoSpaceDN w:val="0"/>
        <w:bidi w:val="0"/>
        <w:spacing w:line="360" w:lineRule="exact"/>
        <w:jc w:val="left"/>
        <w:textAlignment w:val="auto"/>
        <w:rPr>
          <w:rFonts w:hint="eastAsia" w:ascii="宋体" w:hAnsi="宋体" w:eastAsia="宋体" w:cs="宋体"/>
          <w:b/>
          <w:sz w:val="21"/>
          <w:szCs w:val="21"/>
          <w:lang w:eastAsia="zh-CN"/>
        </w:rPr>
      </w:pPr>
      <w:r>
        <w:rPr>
          <w:rFonts w:hint="eastAsia" w:ascii="宋体" w:hAnsi="宋体" w:eastAsia="宋体" w:cs="宋体"/>
          <w:b/>
          <w:sz w:val="21"/>
          <w:szCs w:val="21"/>
          <w:lang w:eastAsia="zh-CN"/>
        </w:rPr>
        <w:t>第一条</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lang w:eastAsia="zh-CN"/>
        </w:rPr>
        <w:t>运输内容及时间</w:t>
      </w:r>
    </w:p>
    <w:p>
      <w:pPr>
        <w:keepNext w:val="0"/>
        <w:keepLines w:val="0"/>
        <w:pageBreakBefore w:val="0"/>
        <w:kinsoku/>
        <w:wordWrap/>
        <w:overflowPunct/>
        <w:topLinePunct w:val="0"/>
        <w:bidi w:val="0"/>
        <w:spacing w:line="360" w:lineRule="exact"/>
        <w:ind w:firstLine="420" w:firstLineChars="200"/>
        <w:textAlignment w:val="auto"/>
        <w:rPr>
          <w:rFonts w:hint="default" w:ascii="宋体" w:hAnsi="宋体" w:eastAsia="宋体" w:cs="宋体"/>
          <w:sz w:val="21"/>
          <w:szCs w:val="21"/>
          <w:lang w:val="en-US"/>
        </w:rPr>
      </w:pPr>
      <w:r>
        <w:rPr>
          <w:rFonts w:hint="eastAsia" w:ascii="宋体" w:hAnsi="宋体" w:eastAsia="宋体" w:cs="宋体"/>
          <w:sz w:val="21"/>
          <w:szCs w:val="21"/>
          <w:lang w:val="en-US" w:eastAsia="zh-CN"/>
        </w:rPr>
        <w:t>1、 甲方委托乙方运输的货物为</w:t>
      </w:r>
      <w:r>
        <w:rPr>
          <w:rFonts w:hint="eastAsia"/>
          <w:sz w:val="24"/>
          <w:szCs w:val="24"/>
          <w:u w:val="none"/>
          <w:lang w:val="en-US" w:eastAsia="zh-CN"/>
        </w:rPr>
        <w:t>【  】</w:t>
      </w:r>
      <w:r>
        <w:rPr>
          <w:rFonts w:hint="eastAsia" w:ascii="宋体" w:hAnsi="宋体" w:eastAsia="宋体" w:cs="宋体"/>
          <w:sz w:val="21"/>
          <w:szCs w:val="21"/>
          <w:lang w:val="en-US" w:eastAsia="zh-CN"/>
        </w:rPr>
        <w:t>，货物数量</w:t>
      </w:r>
      <w:r>
        <w:rPr>
          <w:rFonts w:hint="eastAsia"/>
          <w:sz w:val="24"/>
          <w:szCs w:val="24"/>
          <w:u w:val="none"/>
          <w:lang w:val="en-US" w:eastAsia="zh-CN"/>
        </w:rPr>
        <w:t>【 】</w:t>
      </w:r>
      <w:r>
        <w:rPr>
          <w:rFonts w:hint="eastAsia" w:ascii="宋体" w:hAnsi="宋体" w:eastAsia="宋体" w:cs="宋体"/>
          <w:sz w:val="21"/>
          <w:szCs w:val="21"/>
          <w:lang w:val="en-US" w:eastAsia="zh-CN"/>
        </w:rPr>
        <w:t>，货值</w:t>
      </w:r>
      <w:r>
        <w:rPr>
          <w:rFonts w:hint="eastAsia" w:ascii="宋体" w:hAnsi="宋体" w:eastAsia="宋体" w:cs="宋体"/>
          <w:sz w:val="21"/>
          <w:szCs w:val="21"/>
          <w:u w:val="none"/>
          <w:lang w:val="en-US" w:eastAsia="zh-CN"/>
        </w:rPr>
        <w:t xml:space="preserve"> </w:t>
      </w:r>
      <w:r>
        <w:rPr>
          <w:rFonts w:hint="eastAsia"/>
          <w:sz w:val="24"/>
          <w:szCs w:val="24"/>
          <w:u w:val="none"/>
          <w:lang w:val="en-US" w:eastAsia="zh-CN"/>
        </w:rPr>
        <w:t>【 】</w:t>
      </w:r>
      <w:r>
        <w:rPr>
          <w:rFonts w:hint="eastAsia" w:ascii="宋体" w:hAnsi="宋体" w:eastAsia="宋体" w:cs="宋体"/>
          <w:sz w:val="21"/>
          <w:szCs w:val="21"/>
          <w:lang w:val="en-US" w:eastAsia="zh-CN"/>
        </w:rPr>
        <w:t>。</w:t>
      </w:r>
    </w:p>
    <w:p>
      <w:pPr>
        <w:keepNext w:val="0"/>
        <w:keepLines w:val="0"/>
        <w:pageBreakBefore w:val="0"/>
        <w:kinsoku/>
        <w:wordWrap/>
        <w:overflowPunct/>
        <w:topLinePunct w:val="0"/>
        <w:bidi w:val="0"/>
        <w:spacing w:line="360" w:lineRule="exact"/>
        <w:ind w:firstLine="420" w:firstLineChars="200"/>
        <w:textAlignment w:val="auto"/>
        <w:rPr>
          <w:rFonts w:hint="default" w:ascii="宋体" w:hAnsi="宋体" w:eastAsia="宋体" w:cs="宋体"/>
          <w:sz w:val="21"/>
          <w:szCs w:val="21"/>
          <w:u w:val="none"/>
          <w:lang w:val="en-US"/>
        </w:rPr>
      </w:pPr>
      <w:r>
        <w:rPr>
          <w:rFonts w:hint="eastAsia" w:ascii="宋体" w:hAnsi="宋体" w:eastAsia="宋体" w:cs="宋体"/>
          <w:sz w:val="21"/>
          <w:szCs w:val="21"/>
          <w:lang w:val="en-US" w:eastAsia="zh-CN"/>
        </w:rPr>
        <w:t>2、 货物送达地址及时间：</w:t>
      </w:r>
      <w:r>
        <w:rPr>
          <w:rFonts w:hint="eastAsia"/>
          <w:sz w:val="24"/>
          <w:szCs w:val="24"/>
          <w:u w:val="none"/>
          <w:lang w:val="en-US" w:eastAsia="zh-CN"/>
        </w:rPr>
        <w:t>【                】</w:t>
      </w:r>
      <w:r>
        <w:rPr>
          <w:rFonts w:hint="eastAsia" w:ascii="宋体" w:hAnsi="宋体" w:eastAsia="宋体" w:cs="宋体"/>
          <w:sz w:val="21"/>
          <w:szCs w:val="21"/>
          <w:u w:val="none"/>
          <w:lang w:val="en-US" w:eastAsia="zh-CN"/>
        </w:rPr>
        <w:t xml:space="preserve">。                            </w:t>
      </w:r>
    </w:p>
    <w:p>
      <w:pPr>
        <w:keepNext w:val="0"/>
        <w:keepLines w:val="0"/>
        <w:pageBreakBefore w:val="0"/>
        <w:numPr>
          <w:ilvl w:val="-1"/>
          <w:numId w:val="0"/>
        </w:numPr>
        <w:kinsoku/>
        <w:wordWrap/>
        <w:overflowPunct/>
        <w:topLinePunct w:val="0"/>
        <w:autoSpaceDE w:val="0"/>
        <w:autoSpaceDN w:val="0"/>
        <w:bidi w:val="0"/>
        <w:spacing w:line="360" w:lineRule="exact"/>
        <w:jc w:val="left"/>
        <w:textAlignment w:val="auto"/>
        <w:rPr>
          <w:rFonts w:hint="eastAsia" w:ascii="宋体" w:hAnsi="宋体" w:eastAsia="宋体" w:cs="宋体"/>
          <w:b/>
          <w:sz w:val="21"/>
          <w:szCs w:val="21"/>
          <w:u w:val="none"/>
        </w:rPr>
      </w:pPr>
      <w:r>
        <w:rPr>
          <w:rFonts w:hint="eastAsia" w:ascii="宋体" w:hAnsi="宋体" w:eastAsia="宋体" w:cs="宋体"/>
          <w:b/>
          <w:sz w:val="21"/>
          <w:szCs w:val="21"/>
          <w:u w:val="none"/>
          <w:lang w:eastAsia="zh-CN"/>
        </w:rPr>
        <w:t>第二条</w:t>
      </w:r>
      <w:r>
        <w:rPr>
          <w:rFonts w:hint="eastAsia" w:ascii="宋体" w:hAnsi="宋体" w:eastAsia="宋体" w:cs="宋体"/>
          <w:b/>
          <w:sz w:val="21"/>
          <w:szCs w:val="21"/>
          <w:u w:val="none"/>
          <w:lang w:val="en-US" w:eastAsia="zh-CN"/>
        </w:rPr>
        <w:t xml:space="preserve">  </w:t>
      </w:r>
      <w:r>
        <w:rPr>
          <w:rFonts w:hint="eastAsia" w:ascii="宋体" w:hAnsi="宋体" w:eastAsia="宋体" w:cs="宋体"/>
          <w:b/>
          <w:sz w:val="21"/>
          <w:szCs w:val="21"/>
          <w:u w:val="none"/>
        </w:rPr>
        <w:t>承运线路</w:t>
      </w:r>
    </w:p>
    <w:p>
      <w:pPr>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1、承运线路：</w:t>
      </w:r>
      <w:r>
        <w:rPr>
          <w:rFonts w:hint="eastAsia"/>
          <w:sz w:val="24"/>
          <w:szCs w:val="24"/>
          <w:u w:val="none"/>
          <w:lang w:val="en-US" w:eastAsia="zh-CN"/>
        </w:rPr>
        <w:t>【                   】</w:t>
      </w:r>
      <w:r>
        <w:rPr>
          <w:rFonts w:hint="eastAsia" w:ascii="宋体" w:hAnsi="宋体" w:eastAsia="宋体" w:cs="宋体"/>
          <w:sz w:val="21"/>
          <w:szCs w:val="21"/>
          <w:u w:val="none"/>
          <w:lang w:val="en-US" w:eastAsia="zh-CN"/>
        </w:rPr>
        <w:t xml:space="preserve"> 。</w:t>
      </w:r>
    </w:p>
    <w:p>
      <w:pPr>
        <w:pStyle w:val="2"/>
        <w:bidi w:val="0"/>
        <w:ind w:firstLine="420" w:firstLineChars="200"/>
        <w:rPr>
          <w:rFonts w:hint="eastAsia"/>
          <w:lang w:val="zh-CN" w:eastAsia="zh-CN"/>
        </w:rPr>
      </w:pPr>
      <w:r>
        <w:rPr>
          <w:rFonts w:hint="eastAsia"/>
          <w:lang w:val="en-US" w:eastAsia="zh-CN"/>
        </w:rPr>
        <w:t>2、运输费用：【     】，双方</w:t>
      </w:r>
      <w:r>
        <w:rPr>
          <w:rFonts w:hint="eastAsia"/>
          <w:lang w:val="zh-CN" w:eastAsia="zh-CN"/>
        </w:rPr>
        <w:t>以“运荔枝平台”数据作为结算的唯一依据，以系统内对账数据为基础进行运费结算，若系统外纸质对账单与系统内数据存在差异，将以系统数据为准。</w:t>
      </w:r>
      <w:r>
        <w:rPr>
          <w:rFonts w:hint="eastAsia"/>
          <w:lang w:val="en-US" w:eastAsia="zh-CN"/>
        </w:rPr>
        <w:t>双方均认可在履行本合同过程中产生的载于运荔枝系统的各项数据的法律效力，必要时，前述数据可直接作为证明材料使用。</w:t>
      </w:r>
    </w:p>
    <w:p>
      <w:pPr>
        <w:pStyle w:val="2"/>
        <w:keepNext w:val="0"/>
        <w:keepLines w:val="0"/>
        <w:pageBreakBefore w:val="0"/>
        <w:kinsoku/>
        <w:wordWrap/>
        <w:overflowPunct/>
        <w:topLinePunct w:val="0"/>
        <w:bidi w:val="0"/>
        <w:spacing w:line="36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3、乙方通过注册运荔枝平台账号进行接单承运甲方货物，乙方注册账号并认证成功后，甲方通过平台向乙方下达订单，乙方按订单的运输线路、温度及时间等要求进行运输。甲方</w:t>
      </w:r>
      <w:r>
        <w:rPr>
          <w:rFonts w:hint="eastAsia" w:ascii="宋体" w:hAnsi="宋体" w:eastAsia="宋体" w:cs="宋体"/>
          <w:sz w:val="21"/>
          <w:szCs w:val="21"/>
          <w:highlight w:val="none"/>
        </w:rPr>
        <w:t>下单时</w:t>
      </w:r>
      <w:r>
        <w:rPr>
          <w:rFonts w:hint="eastAsia" w:ascii="宋体" w:hAnsi="宋体" w:eastAsia="宋体" w:cs="宋体"/>
          <w:sz w:val="21"/>
          <w:szCs w:val="21"/>
          <w:highlight w:val="none"/>
          <w:lang w:val="en-US" w:eastAsia="zh-CN"/>
        </w:rPr>
        <w:t>应</w:t>
      </w:r>
      <w:r>
        <w:rPr>
          <w:rFonts w:hint="eastAsia" w:ascii="宋体" w:hAnsi="宋体" w:eastAsia="宋体" w:cs="宋体"/>
          <w:sz w:val="21"/>
          <w:szCs w:val="21"/>
          <w:highlight w:val="none"/>
        </w:rPr>
        <w:t>准确填写订单信息（</w:t>
      </w:r>
      <w:r>
        <w:rPr>
          <w:rFonts w:hint="eastAsia" w:ascii="宋体" w:hAnsi="宋体" w:eastAsia="宋体" w:cs="宋体"/>
          <w:sz w:val="21"/>
          <w:szCs w:val="21"/>
          <w:highlight w:val="none"/>
          <w:lang w:val="en-US" w:eastAsia="zh-CN"/>
        </w:rPr>
        <w:t>如</w:t>
      </w:r>
      <w:r>
        <w:rPr>
          <w:rFonts w:hint="eastAsia" w:ascii="宋体" w:hAnsi="宋体" w:eastAsia="宋体" w:cs="宋体"/>
          <w:sz w:val="21"/>
          <w:szCs w:val="21"/>
          <w:highlight w:val="none"/>
        </w:rPr>
        <w:t>运输货物的品种、规格、数量</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重量</w:t>
      </w:r>
      <w:r>
        <w:rPr>
          <w:rFonts w:hint="eastAsia" w:ascii="宋体" w:hAnsi="宋体" w:eastAsia="宋体" w:cs="宋体"/>
          <w:sz w:val="21"/>
          <w:szCs w:val="21"/>
          <w:highlight w:val="none"/>
          <w:lang w:val="en-US" w:eastAsia="zh-CN"/>
        </w:rPr>
        <w:t>/体积</w:t>
      </w:r>
      <w:r>
        <w:rPr>
          <w:rFonts w:hint="eastAsia" w:ascii="宋体" w:hAnsi="宋体" w:eastAsia="宋体" w:cs="宋体"/>
          <w:sz w:val="21"/>
          <w:szCs w:val="21"/>
          <w:highlight w:val="none"/>
        </w:rPr>
        <w:t>、运输温度</w:t>
      </w:r>
      <w:r>
        <w:rPr>
          <w:rFonts w:hint="eastAsia" w:ascii="宋体" w:hAnsi="宋体" w:eastAsia="宋体" w:cs="宋体"/>
          <w:sz w:val="21"/>
          <w:szCs w:val="21"/>
          <w:highlight w:val="none"/>
          <w:lang w:val="en-US" w:eastAsia="zh-CN"/>
        </w:rPr>
        <w:t>及要求</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装运</w:t>
      </w:r>
      <w:r>
        <w:rPr>
          <w:rFonts w:hint="eastAsia" w:ascii="宋体" w:hAnsi="宋体" w:eastAsia="宋体" w:cs="宋体"/>
          <w:sz w:val="21"/>
          <w:szCs w:val="21"/>
          <w:highlight w:val="none"/>
        </w:rPr>
        <w:t>地点</w:t>
      </w:r>
      <w:r>
        <w:rPr>
          <w:rFonts w:hint="eastAsia" w:ascii="宋体" w:hAnsi="宋体" w:eastAsia="宋体" w:cs="宋体"/>
          <w:sz w:val="21"/>
          <w:szCs w:val="21"/>
          <w:highlight w:val="none"/>
          <w:lang w:val="en-US" w:eastAsia="zh-CN"/>
        </w:rPr>
        <w:t>及联系方式</w:t>
      </w:r>
      <w:r>
        <w:rPr>
          <w:rFonts w:hint="eastAsia" w:ascii="宋体" w:hAnsi="宋体" w:eastAsia="宋体" w:cs="宋体"/>
          <w:sz w:val="21"/>
          <w:szCs w:val="21"/>
          <w:highlight w:val="none"/>
        </w:rPr>
        <w:t>、发运时间、收货人名称</w:t>
      </w:r>
      <w:r>
        <w:rPr>
          <w:rFonts w:hint="eastAsia" w:ascii="宋体" w:hAnsi="宋体" w:eastAsia="宋体" w:cs="宋体"/>
          <w:sz w:val="21"/>
          <w:szCs w:val="21"/>
          <w:highlight w:val="none"/>
          <w:lang w:val="en-US" w:eastAsia="zh-CN"/>
        </w:rPr>
        <w:t>及</w:t>
      </w:r>
      <w:r>
        <w:rPr>
          <w:rFonts w:hint="eastAsia" w:ascii="宋体" w:hAnsi="宋体" w:eastAsia="宋体" w:cs="宋体"/>
          <w:sz w:val="21"/>
          <w:szCs w:val="21"/>
          <w:highlight w:val="none"/>
        </w:rPr>
        <w:t>联系方式、收货地点</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送达时间</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订单费用</w:t>
      </w:r>
      <w:r>
        <w:rPr>
          <w:rFonts w:hint="eastAsia" w:ascii="宋体" w:hAnsi="宋体" w:eastAsia="宋体" w:cs="宋体"/>
          <w:sz w:val="21"/>
          <w:szCs w:val="21"/>
          <w:highlight w:val="none"/>
        </w:rPr>
        <w:t>等信息</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w:t>
      </w:r>
    </w:p>
    <w:p>
      <w:pPr>
        <w:keepNext w:val="0"/>
        <w:keepLines w:val="0"/>
        <w:pageBreakBefore w:val="0"/>
        <w:numPr>
          <w:ilvl w:val="-1"/>
          <w:numId w:val="0"/>
        </w:numPr>
        <w:kinsoku/>
        <w:wordWrap/>
        <w:overflowPunct/>
        <w:topLinePunct w:val="0"/>
        <w:autoSpaceDE w:val="0"/>
        <w:autoSpaceDN w:val="0"/>
        <w:bidi w:val="0"/>
        <w:spacing w:line="360" w:lineRule="exact"/>
        <w:jc w:val="left"/>
        <w:textAlignment w:val="auto"/>
        <w:rPr>
          <w:rFonts w:hint="eastAsia" w:ascii="宋体" w:hAnsi="宋体" w:eastAsia="宋体" w:cs="宋体"/>
          <w:b/>
          <w:sz w:val="21"/>
          <w:szCs w:val="21"/>
        </w:rPr>
      </w:pPr>
      <w:r>
        <w:rPr>
          <w:rFonts w:hint="eastAsia" w:ascii="宋体" w:hAnsi="宋体" w:eastAsia="宋体" w:cs="宋体"/>
          <w:b/>
          <w:sz w:val="21"/>
          <w:szCs w:val="21"/>
          <w:lang w:eastAsia="zh-CN"/>
        </w:rPr>
        <w:t>第三条</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费用结算</w:t>
      </w:r>
    </w:p>
    <w:p>
      <w:pPr>
        <w:keepNext w:val="0"/>
        <w:keepLines w:val="0"/>
        <w:pageBreakBefore w:val="0"/>
        <w:kinsoku/>
        <w:wordWrap/>
        <w:overflowPunct/>
        <w:topLinePunct w:val="0"/>
        <w:bidi w:val="0"/>
        <w:adjustRightInd w:val="0"/>
        <w:spacing w:line="360" w:lineRule="exact"/>
        <w:ind w:firstLine="420" w:firstLineChars="200"/>
        <w:textAlignment w:val="auto"/>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en-US" w:eastAsia="zh-CN" w:bidi="ar-SA"/>
        </w:rPr>
        <w:t>1、甲方通过</w:t>
      </w:r>
      <w:r>
        <w:rPr>
          <w:rFonts w:hint="eastAsia" w:ascii="宋体" w:hAnsi="宋体" w:eastAsia="宋体" w:cs="宋体"/>
          <w:sz w:val="21"/>
          <w:szCs w:val="21"/>
          <w:lang w:val="en-US" w:eastAsia="zh-CN"/>
        </w:rPr>
        <w:t>运荔枝平台系统</w:t>
      </w:r>
      <w:r>
        <w:rPr>
          <w:rFonts w:hint="eastAsia" w:ascii="宋体" w:hAnsi="宋体" w:eastAsia="宋体" w:cs="宋体"/>
          <w:kern w:val="2"/>
          <w:sz w:val="21"/>
          <w:szCs w:val="21"/>
          <w:lang w:val="en-US" w:eastAsia="zh-CN" w:bidi="ar-SA"/>
        </w:rPr>
        <w:t>向乙方发送对账单，乙方应于</w:t>
      </w:r>
      <w:r>
        <w:rPr>
          <w:rFonts w:hint="eastAsia" w:ascii="宋体" w:hAnsi="宋体" w:eastAsia="宋体" w:cs="宋体"/>
          <w:kern w:val="2"/>
          <w:sz w:val="21"/>
          <w:szCs w:val="21"/>
          <w:lang w:val="zh-CN" w:eastAsia="zh-CN" w:bidi="ar-SA"/>
        </w:rPr>
        <w:t>【</w:t>
      </w:r>
      <w:r>
        <w:rPr>
          <w:rFonts w:hint="eastAsia" w:ascii="宋体" w:hAnsi="宋体" w:eastAsia="宋体" w:cs="宋体"/>
          <w:kern w:val="2"/>
          <w:sz w:val="21"/>
          <w:szCs w:val="21"/>
          <w:lang w:val="en-US" w:eastAsia="zh-CN" w:bidi="ar-SA"/>
        </w:rPr>
        <w:t>1</w:t>
      </w:r>
      <w:r>
        <w:rPr>
          <w:rFonts w:hint="eastAsia" w:ascii="宋体" w:hAnsi="宋体" w:eastAsia="宋体" w:cs="宋体"/>
          <w:kern w:val="2"/>
          <w:sz w:val="21"/>
          <w:szCs w:val="21"/>
          <w:lang w:val="zh-CN" w:eastAsia="zh-CN" w:bidi="ar-SA"/>
        </w:rPr>
        <w:t>】</w:t>
      </w:r>
      <w:r>
        <w:rPr>
          <w:rFonts w:hint="eastAsia" w:ascii="宋体" w:hAnsi="宋体" w:eastAsia="宋体" w:cs="宋体"/>
          <w:kern w:val="2"/>
          <w:sz w:val="21"/>
          <w:szCs w:val="21"/>
          <w:lang w:val="en-US" w:eastAsia="zh-CN" w:bidi="ar-SA"/>
        </w:rPr>
        <w:t>个工作日</w:t>
      </w:r>
      <w:r>
        <w:rPr>
          <w:rFonts w:hint="eastAsia" w:ascii="宋体" w:hAnsi="宋体" w:eastAsia="宋体" w:cs="宋体"/>
          <w:kern w:val="2"/>
          <w:sz w:val="21"/>
          <w:szCs w:val="21"/>
          <w:lang w:val="zh-CN" w:eastAsia="zh-CN" w:bidi="ar-SA"/>
        </w:rPr>
        <w:t>内</w:t>
      </w:r>
      <w:r>
        <w:rPr>
          <w:rFonts w:hint="eastAsia" w:ascii="宋体" w:hAnsi="宋体" w:eastAsia="宋体" w:cs="宋体"/>
          <w:kern w:val="2"/>
          <w:sz w:val="21"/>
          <w:szCs w:val="21"/>
          <w:lang w:val="en-US" w:eastAsia="zh-CN" w:bidi="ar-SA"/>
        </w:rPr>
        <w:t>进行确认，如有异议应于前述异议期内向甲方提出。经双方确认的对账单</w:t>
      </w:r>
      <w:r>
        <w:rPr>
          <w:rFonts w:hint="eastAsia" w:ascii="宋体" w:hAnsi="宋体" w:eastAsia="宋体" w:cs="宋体"/>
          <w:kern w:val="2"/>
          <w:sz w:val="21"/>
          <w:szCs w:val="21"/>
          <w:lang w:val="zh-CN" w:eastAsia="zh-CN" w:bidi="ar-SA"/>
        </w:rPr>
        <w:t>，甲方应在确认后的</w:t>
      </w:r>
      <w:r>
        <w:rPr>
          <w:rFonts w:hint="eastAsia"/>
          <w:sz w:val="24"/>
          <w:szCs w:val="24"/>
          <w:u w:val="none"/>
          <w:lang w:val="en-US" w:eastAsia="zh-CN"/>
        </w:rPr>
        <w:t>【 】</w:t>
      </w:r>
      <w:r>
        <w:rPr>
          <w:rFonts w:hint="eastAsia" w:ascii="宋体" w:hAnsi="宋体" w:eastAsia="宋体" w:cs="宋体"/>
          <w:kern w:val="2"/>
          <w:sz w:val="21"/>
          <w:szCs w:val="21"/>
          <w:lang w:val="en-US" w:eastAsia="zh-CN" w:bidi="ar-SA"/>
        </w:rPr>
        <w:t>日内</w:t>
      </w:r>
      <w:r>
        <w:rPr>
          <w:rFonts w:hint="eastAsia" w:ascii="宋体" w:hAnsi="宋体" w:eastAsia="宋体" w:cs="宋体"/>
          <w:kern w:val="2"/>
          <w:sz w:val="21"/>
          <w:szCs w:val="21"/>
          <w:lang w:val="zh-CN" w:eastAsia="zh-CN" w:bidi="ar-SA"/>
        </w:rPr>
        <w:t>将款项通过【</w:t>
      </w:r>
      <w:r>
        <w:rPr>
          <w:rFonts w:hint="eastAsia" w:ascii="宋体" w:hAnsi="宋体" w:eastAsia="宋体" w:cs="宋体"/>
          <w:kern w:val="2"/>
          <w:sz w:val="21"/>
          <w:szCs w:val="21"/>
          <w:lang w:val="en-US" w:eastAsia="zh-CN" w:bidi="ar-SA"/>
        </w:rPr>
        <w:t xml:space="preserve">    </w:t>
      </w:r>
      <w:r>
        <w:rPr>
          <w:rFonts w:hint="eastAsia" w:ascii="宋体" w:hAnsi="宋体" w:eastAsia="宋体" w:cs="宋体"/>
          <w:kern w:val="2"/>
          <w:sz w:val="21"/>
          <w:szCs w:val="21"/>
          <w:lang w:val="zh-CN" w:eastAsia="zh-CN" w:bidi="ar-SA"/>
        </w:rPr>
        <w:t>】汇至乙方账户或</w:t>
      </w:r>
      <w:r>
        <w:rPr>
          <w:rFonts w:hint="eastAsia" w:ascii="宋体" w:hAnsi="宋体" w:eastAsia="宋体" w:cs="宋体"/>
          <w:kern w:val="2"/>
          <w:sz w:val="21"/>
          <w:szCs w:val="21"/>
          <w:lang w:val="en-US" w:eastAsia="zh-CN" w:bidi="ar-SA"/>
        </w:rPr>
        <w:t>以</w:t>
      </w:r>
      <w:r>
        <w:rPr>
          <w:rFonts w:hint="eastAsia" w:ascii="宋体" w:hAnsi="宋体" w:eastAsia="宋体" w:cs="宋体"/>
          <w:kern w:val="2"/>
          <w:sz w:val="21"/>
          <w:szCs w:val="21"/>
          <w:lang w:val="zh-CN" w:eastAsia="zh-CN" w:bidi="ar-SA"/>
        </w:rPr>
        <w:t>双方同意的其他方式进行支付。</w:t>
      </w:r>
    </w:p>
    <w:p>
      <w:pPr>
        <w:keepNext w:val="0"/>
        <w:keepLines w:val="0"/>
        <w:pageBreakBefore w:val="0"/>
        <w:widowControl/>
        <w:kinsoku/>
        <w:wordWrap/>
        <w:overflowPunct/>
        <w:topLinePunct w:val="0"/>
        <w:bidi w:val="0"/>
        <w:adjustRightInd/>
        <w:snapToGrid/>
        <w:spacing w:before="0" w:after="60" w:line="360" w:lineRule="exact"/>
        <w:ind w:left="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lang w:val="en-US" w:eastAsia="zh-CN"/>
        </w:rPr>
        <w:t>、</w:t>
      </w:r>
      <w:r>
        <w:rPr>
          <w:rFonts w:hint="eastAsia" w:ascii="宋体" w:hAnsi="宋体" w:eastAsia="宋体" w:cs="宋体"/>
          <w:sz w:val="21"/>
          <w:szCs w:val="21"/>
          <w:highlight w:val="none"/>
        </w:rPr>
        <w:t>双方</w:t>
      </w:r>
      <w:r>
        <w:rPr>
          <w:rFonts w:hint="eastAsia" w:ascii="宋体" w:hAnsi="宋体" w:eastAsia="宋体" w:cs="宋体"/>
          <w:sz w:val="21"/>
          <w:szCs w:val="21"/>
          <w:highlight w:val="none"/>
          <w:lang w:val="en-US" w:eastAsia="zh-CN"/>
        </w:rPr>
        <w:t>确认，已完整履行的运输订单即为已按照本合同约定及订单要求完成运输服务并及时、完整、准确交付的订单，对账结算时仅就已完整履行且乙方已按平台要求上传相应单据的订单进行对账结算</w:t>
      </w:r>
      <w:r>
        <w:rPr>
          <w:rFonts w:hint="eastAsia" w:ascii="宋体" w:hAnsi="宋体" w:eastAsia="宋体" w:cs="宋体"/>
          <w:sz w:val="21"/>
          <w:szCs w:val="21"/>
          <w:highlight w:val="none"/>
          <w:lang w:eastAsia="zh-CN"/>
        </w:rPr>
        <w:t>。</w:t>
      </w:r>
    </w:p>
    <w:p>
      <w:pPr>
        <w:widowControl/>
        <w:spacing w:after="60" w:line="44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3、乙方收款信息：</w:t>
      </w:r>
    </w:p>
    <w:p>
      <w:pPr>
        <w:widowControl/>
        <w:spacing w:after="60" w:line="440" w:lineRule="exact"/>
        <w:ind w:firstLine="420" w:firstLineChars="200"/>
        <w:jc w:val="left"/>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开户名：</w:t>
      </w:r>
      <w:r>
        <w:rPr>
          <w:rFonts w:hint="eastAsia" w:ascii="宋体" w:hAnsi="宋体" w:eastAsia="宋体" w:cs="宋体"/>
          <w:sz w:val="21"/>
          <w:szCs w:val="21"/>
          <w:highlight w:val="none"/>
          <w:u w:val="none"/>
          <w:lang w:val="en-US" w:eastAsia="zh-CN"/>
        </w:rPr>
        <w:t>【          】</w:t>
      </w:r>
    </w:p>
    <w:p>
      <w:pPr>
        <w:widowControl/>
        <w:spacing w:after="60"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kern w:val="2"/>
          <w:sz w:val="21"/>
          <w:szCs w:val="21"/>
          <w:highlight w:val="none"/>
          <w:lang w:val="en-US" w:eastAsia="zh-CN" w:bidi="ar"/>
        </w:rPr>
        <w:t>开户行：</w:t>
      </w:r>
      <w:r>
        <w:rPr>
          <w:rFonts w:hint="eastAsia" w:ascii="宋体" w:hAnsi="宋体" w:eastAsia="宋体" w:cs="宋体"/>
          <w:sz w:val="21"/>
          <w:szCs w:val="21"/>
          <w:highlight w:val="none"/>
          <w:u w:val="none"/>
          <w:lang w:val="en-US" w:eastAsia="zh-CN"/>
        </w:rPr>
        <w:t>【          】</w:t>
      </w:r>
    </w:p>
    <w:p>
      <w:pPr>
        <w:keepNext w:val="0"/>
        <w:keepLines w:val="0"/>
        <w:pageBreakBefore w:val="0"/>
        <w:widowControl/>
        <w:kinsoku/>
        <w:wordWrap/>
        <w:overflowPunct/>
        <w:topLinePunct w:val="0"/>
        <w:bidi w:val="0"/>
        <w:spacing w:after="60" w:line="4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2"/>
          <w:sz w:val="21"/>
          <w:szCs w:val="21"/>
          <w:highlight w:val="none"/>
          <w:lang w:val="en-US" w:eastAsia="zh-CN" w:bidi="ar"/>
        </w:rPr>
        <w:t>账  号：</w:t>
      </w:r>
      <w:r>
        <w:rPr>
          <w:rFonts w:hint="eastAsia" w:ascii="宋体" w:hAnsi="宋体" w:eastAsia="宋体" w:cs="宋体"/>
          <w:sz w:val="21"/>
          <w:szCs w:val="21"/>
          <w:highlight w:val="none"/>
          <w:u w:val="none"/>
          <w:lang w:val="en-US" w:eastAsia="zh-CN"/>
        </w:rPr>
        <w:t>【          】</w:t>
      </w:r>
    </w:p>
    <w:p>
      <w:pPr>
        <w:keepNext w:val="0"/>
        <w:keepLines w:val="0"/>
        <w:pageBreakBefore w:val="0"/>
        <w:numPr>
          <w:ilvl w:val="-1"/>
          <w:numId w:val="0"/>
        </w:numPr>
        <w:kinsoku/>
        <w:wordWrap/>
        <w:overflowPunct/>
        <w:topLinePunct w:val="0"/>
        <w:autoSpaceDE w:val="0"/>
        <w:autoSpaceDN w:val="0"/>
        <w:bidi w:val="0"/>
        <w:spacing w:line="360" w:lineRule="exact"/>
        <w:jc w:val="left"/>
        <w:textAlignment w:val="auto"/>
        <w:rPr>
          <w:rFonts w:hint="eastAsia" w:ascii="宋体" w:hAnsi="宋体" w:eastAsia="宋体" w:cs="宋体"/>
          <w:b/>
          <w:sz w:val="21"/>
          <w:szCs w:val="21"/>
        </w:rPr>
      </w:pPr>
      <w:bookmarkStart w:id="0" w:name="_Hlk67824229"/>
      <w:r>
        <w:rPr>
          <w:rFonts w:hint="eastAsia" w:ascii="宋体" w:hAnsi="宋体" w:eastAsia="宋体" w:cs="宋体"/>
          <w:b/>
          <w:sz w:val="21"/>
          <w:szCs w:val="21"/>
          <w:lang w:eastAsia="zh-CN"/>
        </w:rPr>
        <w:t>第五条</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服务质量与约定</w:t>
      </w:r>
      <w:bookmarkEnd w:id="0"/>
    </w:p>
    <w:p>
      <w:pPr>
        <w:keepNext w:val="0"/>
        <w:keepLines w:val="0"/>
        <w:pageBreakBefore w:val="0"/>
        <w:kinsoku/>
        <w:wordWrap/>
        <w:overflowPunct/>
        <w:topLinePunct w:val="0"/>
        <w:bidi w:val="0"/>
        <w:adjustRightInd w:val="0"/>
        <w:spacing w:line="360" w:lineRule="exact"/>
        <w:ind w:firstLine="420" w:firstLineChars="200"/>
        <w:textAlignment w:val="auto"/>
        <w:rPr>
          <w:rFonts w:hint="eastAsia" w:ascii="宋体" w:hAnsi="宋体" w:eastAsia="宋体" w:cs="宋体"/>
          <w:kern w:val="2"/>
          <w:sz w:val="21"/>
          <w:szCs w:val="21"/>
          <w:lang w:val="zh-CN" w:eastAsia="zh-CN" w:bidi="ar-SA"/>
        </w:rPr>
      </w:pPr>
      <w:r>
        <w:rPr>
          <w:rFonts w:hint="eastAsia" w:ascii="宋体" w:hAnsi="宋体" w:eastAsia="宋体" w:cs="宋体"/>
          <w:b w:val="0"/>
          <w:bCs/>
          <w:sz w:val="21"/>
          <w:szCs w:val="21"/>
          <w:lang w:val="en-US" w:eastAsia="zh-CN"/>
        </w:rPr>
        <w:t>1、</w:t>
      </w:r>
      <w:r>
        <w:rPr>
          <w:rFonts w:hint="eastAsia" w:ascii="宋体" w:hAnsi="宋体" w:eastAsia="宋体" w:cs="宋体"/>
          <w:sz w:val="21"/>
          <w:szCs w:val="21"/>
        </w:rPr>
        <w:t>甲方应保证交付乙方配送的货物与提供的随货单据的数据信息一致，随货文件清晰齐全、真实合法，托运货物质量应符合相关质量标准，货物及包装完好无损，箱体干净，外箱标识清</w:t>
      </w:r>
      <w:r>
        <w:rPr>
          <w:rFonts w:hint="eastAsia" w:ascii="宋体" w:hAnsi="宋体" w:eastAsia="宋体" w:cs="宋体"/>
          <w:kern w:val="2"/>
          <w:sz w:val="21"/>
          <w:szCs w:val="21"/>
          <w:lang w:val="zh-CN" w:eastAsia="zh-CN" w:bidi="ar-SA"/>
        </w:rPr>
        <w:t>楚，如因无正式文件或文件不齐所造成的处罚等一切责任由甲方承担。</w:t>
      </w:r>
    </w:p>
    <w:p>
      <w:pPr>
        <w:keepNext w:val="0"/>
        <w:keepLines w:val="0"/>
        <w:pageBreakBefore w:val="0"/>
        <w:kinsoku/>
        <w:wordWrap/>
        <w:overflowPunct/>
        <w:topLinePunct w:val="0"/>
        <w:bidi w:val="0"/>
        <w:adjustRightInd w:val="0"/>
        <w:spacing w:line="360" w:lineRule="exact"/>
        <w:ind w:firstLine="420" w:firstLineChars="200"/>
        <w:textAlignment w:val="auto"/>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en-US" w:eastAsia="zh-CN" w:bidi="ar-SA"/>
        </w:rPr>
        <w:t>2、</w:t>
      </w:r>
      <w:r>
        <w:rPr>
          <w:rFonts w:hint="eastAsia" w:ascii="宋体" w:hAnsi="宋体" w:eastAsia="宋体" w:cs="宋体"/>
          <w:kern w:val="2"/>
          <w:sz w:val="21"/>
          <w:szCs w:val="21"/>
          <w:lang w:val="zh-CN" w:eastAsia="zh-CN" w:bidi="ar-SA"/>
        </w:rPr>
        <w:t>乙方必须向甲方提供行车证、运营证、保险单、驾驶证等证件的原件及复印件，且行车证车牌号、车型、发动机号等信息与车辆一致</w:t>
      </w:r>
      <w:r>
        <w:rPr>
          <w:rFonts w:hint="eastAsia" w:ascii="宋体" w:hAnsi="宋体" w:eastAsia="宋体" w:cs="宋体"/>
          <w:sz w:val="21"/>
          <w:szCs w:val="21"/>
        </w:rPr>
        <w:t>，保险卡必须在有效期内，驾驶证、身份证与参与拍照人一致，乙方合同签订人必须为行车证车主本人，若非车主本人，需提供车主本人的授权委托书，装车时乙方人员必须在场，乙方有责对货品及数量进行清点，乙方签订本合同视为</w:t>
      </w:r>
      <w:r>
        <w:rPr>
          <w:rFonts w:hint="eastAsia" w:ascii="宋体" w:hAnsi="宋体" w:eastAsia="宋体" w:cs="宋体"/>
          <w:kern w:val="2"/>
          <w:sz w:val="21"/>
          <w:szCs w:val="21"/>
          <w:lang w:val="zh-CN" w:eastAsia="zh-CN" w:bidi="ar-SA"/>
        </w:rPr>
        <w:t>对装车货物品种及数量没有异议。</w:t>
      </w:r>
    </w:p>
    <w:p>
      <w:pPr>
        <w:keepNext w:val="0"/>
        <w:keepLines w:val="0"/>
        <w:pageBreakBefore w:val="0"/>
        <w:kinsoku/>
        <w:wordWrap/>
        <w:overflowPunct/>
        <w:topLinePunct w:val="0"/>
        <w:bidi w:val="0"/>
        <w:adjustRightIn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3、</w:t>
      </w:r>
      <w:r>
        <w:rPr>
          <w:rFonts w:hint="eastAsia" w:ascii="宋体" w:hAnsi="宋体" w:eastAsia="宋体" w:cs="宋体"/>
          <w:kern w:val="2"/>
          <w:sz w:val="21"/>
          <w:szCs w:val="21"/>
          <w:lang w:val="zh-CN" w:eastAsia="zh-CN" w:bidi="ar-SA"/>
        </w:rPr>
        <w:t>乙方应确保其提供的运输</w:t>
      </w:r>
      <w:r>
        <w:rPr>
          <w:rFonts w:hint="eastAsia" w:ascii="宋体" w:hAnsi="宋体" w:eastAsia="宋体" w:cs="宋体"/>
          <w:sz w:val="21"/>
          <w:szCs w:val="21"/>
        </w:rPr>
        <w:t>服务以及其提供并使用的车辆符合甲方要求和食品安全法等相关法律规范要求，严禁将有毒有害、化学品、危险品、冷冻海鲜以及其他非甲方托运等货物与甲方货物混装。若乙方在货物中夹带易燃、易爆危险物品，以及国家规定的禁运、有害、有毒、腐蚀等物品，一经查实，混装产品全部召回无条件销毁，且确保承运过程中车辆干净卫生、无污物、无积水、无残留、无异味，不野蛮装卸，不抛放货物。否则，由此造成的损失及法律风险均由乙方承担。</w:t>
      </w:r>
    </w:p>
    <w:p>
      <w:pPr>
        <w:pStyle w:val="2"/>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货物运抵目的地后，由收货人验收。乙方应根据甲方要求将由收货人签字并盖章的货运单及温控仪、配送卡及其他相关手续在收货人验收后1个工作日内交给甲方相关人员</w:t>
      </w:r>
      <w:r>
        <w:rPr>
          <w:rFonts w:hint="eastAsia" w:ascii="宋体" w:hAnsi="宋体" w:eastAsia="宋体" w:cs="宋体"/>
          <w:sz w:val="21"/>
          <w:szCs w:val="21"/>
          <w:lang w:eastAsia="zh-CN"/>
        </w:rPr>
        <w:t>，未按时交付相关凭证的，甲方有权不予办理结算并延期支付相关费用</w:t>
      </w:r>
      <w:r>
        <w:rPr>
          <w:rFonts w:hint="eastAsia" w:ascii="宋体" w:hAnsi="宋体" w:eastAsia="宋体" w:cs="宋体"/>
          <w:sz w:val="21"/>
          <w:szCs w:val="21"/>
        </w:rPr>
        <w:t>。</w:t>
      </w:r>
      <w:r>
        <w:rPr>
          <w:rFonts w:hint="eastAsia" w:ascii="宋体" w:hAnsi="宋体" w:eastAsia="宋体" w:cs="宋体"/>
          <w:sz w:val="21"/>
          <w:szCs w:val="21"/>
          <w:lang w:eastAsia="zh-CN"/>
        </w:rPr>
        <w:t>如乙方遗失、损坏相关凭证导致甲方不能与收货人办理结算的，所造成</w:t>
      </w:r>
      <w:r>
        <w:rPr>
          <w:rFonts w:hint="eastAsia" w:ascii="宋体" w:hAnsi="宋体" w:eastAsia="宋体" w:cs="宋体"/>
          <w:bCs w:val="0"/>
          <w:sz w:val="21"/>
          <w:szCs w:val="21"/>
        </w:rPr>
        <w:t>的甲方、甲方客户的任何损失</w:t>
      </w:r>
      <w:r>
        <w:rPr>
          <w:rFonts w:hint="eastAsia" w:ascii="宋体" w:hAnsi="宋体" w:eastAsia="宋体" w:cs="宋体"/>
          <w:bCs w:val="0"/>
          <w:sz w:val="21"/>
          <w:szCs w:val="21"/>
          <w:lang w:eastAsia="zh-CN"/>
        </w:rPr>
        <w:t>或</w:t>
      </w:r>
      <w:r>
        <w:rPr>
          <w:rFonts w:hint="eastAsia" w:ascii="宋体" w:hAnsi="宋体" w:eastAsia="宋体" w:cs="宋体"/>
          <w:bCs w:val="0"/>
          <w:sz w:val="21"/>
          <w:szCs w:val="21"/>
        </w:rPr>
        <w:t>甲方客户对甲方的处罚</w:t>
      </w:r>
      <w:r>
        <w:rPr>
          <w:rFonts w:hint="eastAsia" w:ascii="宋体" w:hAnsi="宋体" w:eastAsia="宋体" w:cs="宋体"/>
          <w:bCs w:val="0"/>
          <w:sz w:val="21"/>
          <w:szCs w:val="21"/>
          <w:lang w:eastAsia="zh-CN"/>
        </w:rPr>
        <w:t>等</w:t>
      </w:r>
      <w:r>
        <w:rPr>
          <w:rFonts w:hint="eastAsia" w:ascii="宋体" w:hAnsi="宋体" w:eastAsia="宋体" w:cs="宋体"/>
          <w:bCs w:val="0"/>
          <w:sz w:val="21"/>
          <w:szCs w:val="21"/>
        </w:rPr>
        <w:t>均由乙方予以承担赔偿责任。</w:t>
      </w:r>
    </w:p>
    <w:p>
      <w:pPr>
        <w:pStyle w:val="21"/>
        <w:keepNext w:val="0"/>
        <w:keepLines w:val="0"/>
        <w:pageBreakBefore w:val="0"/>
        <w:numPr>
          <w:ilvl w:val="0"/>
          <w:numId w:val="0"/>
        </w:numPr>
        <w:kinsoku/>
        <w:wordWrap/>
        <w:overflowPunct/>
        <w:topLinePunct w:val="0"/>
        <w:bidi w:val="0"/>
        <w:spacing w:after="60" w:line="36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乙方应在甲方指定时间内接货并在约定的时间期限内安全的将甲方交付运输的货物交由收货人签收，并在甲方规定时间内使用“运荔枝司机端APP”上传完整规范的签收单，若不及时上传签收单造成运费延迟支付由乙方自行承担。</w:t>
      </w:r>
    </w:p>
    <w:p>
      <w:pPr>
        <w:keepNext w:val="0"/>
        <w:keepLines w:val="0"/>
        <w:pageBreakBefore w:val="0"/>
        <w:widowControl w:val="0"/>
        <w:numPr>
          <w:ilvl w:val="0"/>
          <w:numId w:val="0"/>
        </w:numPr>
        <w:tabs>
          <w:tab w:val="left" w:pos="360"/>
        </w:tabs>
        <w:kinsoku/>
        <w:wordWrap/>
        <w:overflowPunct/>
        <w:topLinePunct w:val="0"/>
        <w:bidi w:val="0"/>
        <w:adjustRightInd/>
        <w:snapToGrid/>
        <w:spacing w:before="60" w:after="60" w:line="360" w:lineRule="exact"/>
        <w:ind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为确保货物安全，避免发生意外事故造成重大损失，乙方每次运输应提供保额与运输额相当的货物保险，并承担由于未投货物保险造成的全部经济损失及全部责任。乙方保证委派承运的车辆已按照国家相关法律法规规章政策的规定足额购买了车辆损失保险、第三者责任保险、承运货物的货物保险、随车乘、驾人员保险，包括但不限于员工工伤保险及法律要求的其它社会保险，并承诺因违反前述规定而导致的任何损害不向甲方提出赔偿要求。</w:t>
      </w:r>
    </w:p>
    <w:p>
      <w:pPr>
        <w:pStyle w:val="21"/>
        <w:keepNext w:val="0"/>
        <w:keepLines w:val="0"/>
        <w:pageBreakBefore w:val="0"/>
        <w:numPr>
          <w:ilvl w:val="-1"/>
          <w:numId w:val="0"/>
        </w:numPr>
        <w:kinsoku/>
        <w:wordWrap/>
        <w:overflowPunct/>
        <w:topLinePunct w:val="0"/>
        <w:bidi w:val="0"/>
        <w:spacing w:after="60" w:line="360" w:lineRule="exact"/>
        <w:ind w:left="0" w:leftChars="0" w:firstLine="42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乙方保质保量及时将甲方货物运送至甲方指定地点，</w:t>
      </w:r>
      <w:r>
        <w:rPr>
          <w:rFonts w:hint="eastAsia" w:ascii="宋体" w:hAnsi="宋体" w:eastAsia="宋体" w:cs="宋体"/>
          <w:sz w:val="21"/>
          <w:szCs w:val="21"/>
          <w:lang w:eastAsia="zh-CN"/>
        </w:rPr>
        <w:t>运输</w:t>
      </w:r>
      <w:r>
        <w:rPr>
          <w:rFonts w:hint="eastAsia" w:ascii="宋体" w:hAnsi="宋体" w:eastAsia="宋体" w:cs="宋体"/>
          <w:sz w:val="21"/>
          <w:szCs w:val="21"/>
        </w:rPr>
        <w:t>期间发生的晚点、翻车、事故、偷盗、火灾、淋雨、解冻、结冻、变质等原因造成的损失均</w:t>
      </w:r>
      <w:r>
        <w:rPr>
          <w:rFonts w:hint="eastAsia" w:ascii="宋体" w:hAnsi="宋体" w:eastAsia="宋体" w:cs="宋体"/>
          <w:sz w:val="21"/>
          <w:szCs w:val="21"/>
          <w:lang w:eastAsia="zh-CN"/>
        </w:rPr>
        <w:t>由</w:t>
      </w:r>
      <w:r>
        <w:rPr>
          <w:rFonts w:hint="eastAsia" w:ascii="宋体" w:hAnsi="宋体" w:eastAsia="宋体" w:cs="宋体"/>
          <w:sz w:val="21"/>
          <w:szCs w:val="21"/>
        </w:rPr>
        <w:t>乙方全额承担，乙方同意从运费中扣除，不足部分，乙方必须在一周内支付完毕。</w:t>
      </w:r>
    </w:p>
    <w:p>
      <w:pPr>
        <w:pStyle w:val="21"/>
        <w:keepNext w:val="0"/>
        <w:keepLines w:val="0"/>
        <w:pageBreakBefore w:val="0"/>
        <w:numPr>
          <w:ilvl w:val="-1"/>
          <w:numId w:val="0"/>
        </w:numPr>
        <w:kinsoku/>
        <w:wordWrap/>
        <w:overflowPunct/>
        <w:topLinePunct w:val="0"/>
        <w:bidi w:val="0"/>
        <w:spacing w:after="60" w:line="36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甲乙双方非雇佣关系，乙方及其雇佣或者聘请的驾驶员、跟车员与甲方均不存在雇佣关系，乙方雇佣或聘请的驾驶员、跟车员的所有费用、</w:t>
      </w:r>
      <w:r>
        <w:rPr>
          <w:rFonts w:hint="eastAsia" w:ascii="宋体" w:hAnsi="宋体" w:eastAsia="宋体" w:cs="宋体"/>
          <w:sz w:val="21"/>
          <w:szCs w:val="21"/>
          <w:lang w:eastAsia="zh-CN"/>
        </w:rPr>
        <w:t>安全</w:t>
      </w:r>
      <w:r>
        <w:rPr>
          <w:rFonts w:hint="eastAsia" w:ascii="宋体" w:hAnsi="宋体" w:eastAsia="宋体" w:cs="宋体"/>
          <w:sz w:val="21"/>
          <w:szCs w:val="21"/>
        </w:rPr>
        <w:t>风险</w:t>
      </w:r>
      <w:r>
        <w:rPr>
          <w:rFonts w:hint="eastAsia" w:ascii="宋体" w:hAnsi="宋体" w:eastAsia="宋体" w:cs="宋体"/>
          <w:sz w:val="21"/>
          <w:szCs w:val="21"/>
          <w:lang w:eastAsia="zh-CN"/>
        </w:rPr>
        <w:t>责任</w:t>
      </w:r>
      <w:r>
        <w:rPr>
          <w:rFonts w:hint="eastAsia" w:ascii="宋体" w:hAnsi="宋体" w:eastAsia="宋体" w:cs="宋体"/>
          <w:sz w:val="21"/>
          <w:szCs w:val="21"/>
        </w:rPr>
        <w:t>及造成的损失均由乙方自行承担。同时，乙方需对前述人员的行为负责，如因前述人员造成甲方或收货人损失的，应由乙方承担。</w:t>
      </w:r>
    </w:p>
    <w:p>
      <w:pPr>
        <w:pStyle w:val="21"/>
        <w:keepNext w:val="0"/>
        <w:keepLines w:val="0"/>
        <w:pageBreakBefore w:val="0"/>
        <w:numPr>
          <w:ilvl w:val="-1"/>
          <w:numId w:val="0"/>
        </w:numPr>
        <w:kinsoku/>
        <w:wordWrap/>
        <w:overflowPunct/>
        <w:topLinePunct w:val="0"/>
        <w:bidi w:val="0"/>
        <w:spacing w:after="60" w:line="36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所有意外事故或紧急事件发生后，乙方应在30分钟内通知甲方，按照甲方临时要求及时处理，并将处理结果每2小时通报甲方一次，直至处理结束。</w:t>
      </w:r>
    </w:p>
    <w:p>
      <w:pPr>
        <w:pStyle w:val="21"/>
        <w:keepNext w:val="0"/>
        <w:keepLines w:val="0"/>
        <w:pageBreakBefore w:val="0"/>
        <w:numPr>
          <w:ilvl w:val="-1"/>
          <w:numId w:val="0"/>
        </w:numPr>
        <w:kinsoku/>
        <w:wordWrap/>
        <w:overflowPunct/>
        <w:topLinePunct w:val="0"/>
        <w:bidi w:val="0"/>
        <w:spacing w:after="60" w:line="36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 xml:space="preserve">甲方同意将货物交由乙方运输，延迟送到的，乙方应支付违约金并承担由此造成的任何损失；违约金为 </w:t>
      </w:r>
      <w:r>
        <w:rPr>
          <w:rFonts w:hint="eastAsia"/>
          <w:sz w:val="24"/>
          <w:szCs w:val="24"/>
          <w:u w:val="none"/>
          <w:lang w:val="en-US" w:eastAsia="zh-CN"/>
        </w:rPr>
        <w:t>【</w:t>
      </w:r>
      <w:r>
        <w:rPr>
          <w:rFonts w:hint="eastAsia" w:ascii="宋体" w:hAnsi="宋体" w:eastAsia="宋体" w:cs="宋体"/>
          <w:sz w:val="21"/>
          <w:szCs w:val="21"/>
          <w:u w:val="none"/>
          <w:lang w:val="en-US" w:eastAsia="zh-CN"/>
        </w:rPr>
        <w:t>5000</w:t>
      </w:r>
      <w:r>
        <w:rPr>
          <w:rFonts w:hint="eastAsia"/>
          <w:sz w:val="24"/>
          <w:szCs w:val="24"/>
          <w:u w:val="none"/>
          <w:lang w:val="en-US" w:eastAsia="zh-CN"/>
        </w:rPr>
        <w:t>】</w:t>
      </w:r>
      <w:r>
        <w:rPr>
          <w:rFonts w:hint="eastAsia" w:ascii="宋体" w:hAnsi="宋体" w:eastAsia="宋体" w:cs="宋体"/>
          <w:sz w:val="21"/>
          <w:szCs w:val="21"/>
          <w:u w:val="none"/>
        </w:rPr>
        <w:t xml:space="preserve"> 元/天；迟到不足24小时的，违约金按 </w:t>
      </w:r>
      <w:r>
        <w:rPr>
          <w:rFonts w:hint="eastAsia"/>
          <w:sz w:val="24"/>
          <w:szCs w:val="24"/>
          <w:u w:val="none"/>
          <w:lang w:val="en-US" w:eastAsia="zh-CN"/>
        </w:rPr>
        <w:t>【</w:t>
      </w:r>
      <w:r>
        <w:rPr>
          <w:rFonts w:hint="eastAsia" w:ascii="宋体" w:hAnsi="宋体" w:eastAsia="宋体" w:cs="宋体"/>
          <w:sz w:val="21"/>
          <w:szCs w:val="21"/>
          <w:u w:val="none"/>
          <w:lang w:val="en-US" w:eastAsia="zh-CN"/>
        </w:rPr>
        <w:t>500</w:t>
      </w:r>
      <w:r>
        <w:rPr>
          <w:rFonts w:hint="eastAsia"/>
          <w:sz w:val="24"/>
          <w:szCs w:val="24"/>
          <w:u w:val="none"/>
          <w:lang w:val="en-US" w:eastAsia="zh-CN"/>
        </w:rPr>
        <w:t>】</w:t>
      </w:r>
      <w:r>
        <w:rPr>
          <w:rFonts w:hint="eastAsia" w:ascii="宋体" w:hAnsi="宋体" w:eastAsia="宋体" w:cs="宋体"/>
          <w:sz w:val="21"/>
          <w:szCs w:val="21"/>
          <w:u w:val="none"/>
        </w:rPr>
        <w:t xml:space="preserve"> 元</w:t>
      </w:r>
      <w:r>
        <w:rPr>
          <w:rFonts w:hint="eastAsia" w:ascii="宋体" w:hAnsi="宋体" w:eastAsia="宋体" w:cs="宋体"/>
          <w:sz w:val="21"/>
          <w:szCs w:val="21"/>
        </w:rPr>
        <w:t>/小时确定；迟到不足1小时的，违约金按迟到1小时确认。</w:t>
      </w:r>
    </w:p>
    <w:p>
      <w:pPr>
        <w:pStyle w:val="2"/>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val="en-US" w:eastAsia="zh-CN"/>
        </w:rPr>
        <w:t>11、</w:t>
      </w:r>
      <w:r>
        <w:rPr>
          <w:rFonts w:hint="eastAsia" w:ascii="宋体" w:hAnsi="宋体" w:eastAsia="宋体" w:cs="宋体"/>
          <w:sz w:val="21"/>
          <w:szCs w:val="21"/>
        </w:rPr>
        <w:t>乙方承诺在承运期间油料使用甲方提供油卡，油卡的使用金额在支付的运费中扣除。</w:t>
      </w:r>
      <w:r>
        <w:rPr>
          <w:rFonts w:hint="eastAsia" w:ascii="宋体" w:hAnsi="宋体" w:eastAsia="宋体" w:cs="宋体"/>
          <w:kern w:val="2"/>
          <w:sz w:val="21"/>
          <w:szCs w:val="21"/>
          <w:lang w:val="zh-CN" w:eastAsia="zh-CN" w:bidi="ar-SA"/>
        </w:rPr>
        <w:t>乙方应在油卡使用期限内使用，若因乙方自身原因导致油卡超过使用期限无法使用的，造成的损失由乙方自行承担。</w:t>
      </w:r>
    </w:p>
    <w:p>
      <w:pPr>
        <w:pStyle w:val="21"/>
        <w:keepNext w:val="0"/>
        <w:keepLines w:val="0"/>
        <w:pageBreakBefore w:val="0"/>
        <w:numPr>
          <w:ilvl w:val="-1"/>
          <w:numId w:val="0"/>
        </w:numPr>
        <w:kinsoku/>
        <w:wordWrap/>
        <w:overflowPunct/>
        <w:topLinePunct w:val="0"/>
        <w:bidi w:val="0"/>
        <w:spacing w:after="60" w:line="36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12、</w:t>
      </w:r>
      <w:r>
        <w:rPr>
          <w:rFonts w:hint="eastAsia" w:ascii="宋体" w:hAnsi="宋体" w:eastAsia="宋体" w:cs="宋体"/>
          <w:sz w:val="21"/>
          <w:szCs w:val="21"/>
        </w:rPr>
        <w:t>乙方属于自带车辆、自行雇佣工作人员为甲方提供配送服务。因此，乙方如因运输行为引起的配送车辆、工作人员及运输货物的安全问题及财产损失由乙方自行承担，如由此造成甲方经济损失的，由乙方负责全额赔偿。如未及时赔偿的，甲方有权从乙方的运输费用及配送保证金中直接扣除。</w:t>
      </w:r>
      <w:r>
        <w:rPr>
          <w:rFonts w:hint="eastAsia" w:ascii="宋体" w:hAnsi="宋体" w:eastAsia="宋体" w:cs="宋体"/>
          <w:sz w:val="21"/>
          <w:szCs w:val="21"/>
          <w:lang w:val="en-US" w:eastAsia="zh-CN"/>
        </w:rPr>
        <w:t>如</w:t>
      </w:r>
      <w:r>
        <w:rPr>
          <w:rFonts w:hint="eastAsia" w:ascii="宋体" w:hAnsi="宋体" w:eastAsia="宋体" w:cs="宋体"/>
          <w:sz w:val="21"/>
          <w:szCs w:val="21"/>
        </w:rPr>
        <w:t>造成第三人财产损失和</w:t>
      </w:r>
      <w:r>
        <w:rPr>
          <w:rFonts w:hint="eastAsia" w:ascii="宋体" w:hAnsi="宋体" w:eastAsia="宋体" w:cs="宋体"/>
          <w:sz w:val="21"/>
          <w:szCs w:val="21"/>
          <w:lang w:val="en-US" w:eastAsia="zh-CN"/>
        </w:rPr>
        <w:t>人员</w:t>
      </w:r>
      <w:r>
        <w:rPr>
          <w:rFonts w:hint="eastAsia" w:ascii="宋体" w:hAnsi="宋体" w:eastAsia="宋体" w:cs="宋体"/>
          <w:sz w:val="21"/>
          <w:szCs w:val="21"/>
        </w:rPr>
        <w:t>伤亡的，乙方应当予以</w:t>
      </w:r>
      <w:r>
        <w:rPr>
          <w:rFonts w:hint="eastAsia" w:ascii="宋体" w:hAnsi="宋体" w:eastAsia="宋体" w:cs="宋体"/>
          <w:sz w:val="21"/>
          <w:szCs w:val="21"/>
          <w:lang w:val="en-US" w:eastAsia="zh-CN"/>
        </w:rPr>
        <w:t>全额赔偿，</w:t>
      </w:r>
      <w:r>
        <w:rPr>
          <w:rFonts w:hint="eastAsia" w:ascii="宋体" w:hAnsi="宋体" w:eastAsia="宋体" w:cs="宋体"/>
          <w:sz w:val="21"/>
          <w:szCs w:val="21"/>
        </w:rPr>
        <w:t>并</w:t>
      </w:r>
      <w:r>
        <w:rPr>
          <w:rFonts w:hint="eastAsia" w:ascii="宋体" w:hAnsi="宋体" w:eastAsia="宋体" w:cs="宋体"/>
          <w:sz w:val="21"/>
          <w:szCs w:val="21"/>
          <w:lang w:val="en-US" w:eastAsia="zh-CN"/>
        </w:rPr>
        <w:t>妥善解决，不得牵连甲方，</w:t>
      </w:r>
      <w:r>
        <w:rPr>
          <w:rFonts w:hint="eastAsia" w:ascii="宋体" w:hAnsi="宋体" w:eastAsia="宋体" w:cs="宋体"/>
          <w:sz w:val="21"/>
          <w:szCs w:val="21"/>
        </w:rPr>
        <w:t>不使甲方承担任何责任</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如造成</w:t>
      </w:r>
      <w:r>
        <w:rPr>
          <w:rFonts w:hint="eastAsia" w:ascii="宋体" w:hAnsi="宋体" w:eastAsia="宋体" w:cs="宋体"/>
          <w:sz w:val="21"/>
          <w:szCs w:val="21"/>
        </w:rPr>
        <w:t>甲方</w:t>
      </w:r>
      <w:r>
        <w:rPr>
          <w:rFonts w:hint="eastAsia" w:ascii="宋体" w:hAnsi="宋体" w:eastAsia="宋体" w:cs="宋体"/>
          <w:sz w:val="21"/>
          <w:szCs w:val="21"/>
          <w:lang w:val="en-US" w:eastAsia="zh-CN"/>
        </w:rPr>
        <w:t>跟车人员伤亡、货物损毁灭失的，</w:t>
      </w:r>
      <w:r>
        <w:rPr>
          <w:rFonts w:hint="eastAsia" w:ascii="宋体" w:hAnsi="宋体" w:eastAsia="宋体" w:cs="宋体"/>
          <w:sz w:val="21"/>
          <w:szCs w:val="21"/>
        </w:rPr>
        <w:t>乙方应</w:t>
      </w:r>
      <w:r>
        <w:rPr>
          <w:rFonts w:hint="eastAsia" w:ascii="宋体" w:hAnsi="宋体" w:eastAsia="宋体" w:cs="宋体"/>
          <w:sz w:val="21"/>
          <w:szCs w:val="21"/>
          <w:lang w:eastAsia="zh-CN"/>
        </w:rPr>
        <w:t>赔偿甲方因此遭受的所有损失</w:t>
      </w:r>
      <w:r>
        <w:rPr>
          <w:rFonts w:hint="eastAsia" w:ascii="宋体" w:hAnsi="宋体" w:eastAsia="宋体" w:cs="宋体"/>
          <w:sz w:val="21"/>
          <w:szCs w:val="21"/>
        </w:rPr>
        <w:t>。</w:t>
      </w:r>
    </w:p>
    <w:p>
      <w:pPr>
        <w:keepNext w:val="0"/>
        <w:keepLines w:val="0"/>
        <w:pageBreakBefore w:val="0"/>
        <w:numPr>
          <w:ilvl w:val="-1"/>
          <w:numId w:val="0"/>
        </w:numPr>
        <w:kinsoku/>
        <w:wordWrap/>
        <w:overflowPunct/>
        <w:topLinePunct w:val="0"/>
        <w:bidi w:val="0"/>
        <w:spacing w:after="60" w:line="36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bCs w:val="0"/>
          <w:sz w:val="21"/>
          <w:szCs w:val="21"/>
          <w:lang w:val="en-US" w:eastAsia="zh-CN"/>
        </w:rPr>
        <w:t>13、对于在向甲方提供服务的过程中产生的或与提供服务相关的，如因乙方未按约定或相关法律法规向其下游承运人、雇员、劳务人员或其他第三人等相关人员支付费用或其他补偿费、赔偿金等应付费用，导致其下游承运人、雇员、劳务人员投诉劳动监察、仲裁、要求甲方（作为实际受益人）支付、或采取堵门、罢工、闹事等影响或可能影响甲方正常经营的行为，对甲方或甲方客户造成商业影响，则甲方有权在不经乙方同意的情况下向该部分人员发放乙方应付款项，且该部分费用从甲方应向乙方结算的应付款项、服务费及保证金中扣除，如不足部分需乙方在接到甲方通知后3日内补足，如乙方拒不配合，需向甲方支付违约金5万元。</w:t>
      </w:r>
    </w:p>
    <w:p>
      <w:pPr>
        <w:pStyle w:val="21"/>
        <w:keepNext w:val="0"/>
        <w:keepLines w:val="0"/>
        <w:pageBreakBefore w:val="0"/>
        <w:numPr>
          <w:ilvl w:val="-1"/>
          <w:numId w:val="0"/>
        </w:numPr>
        <w:kinsoku/>
        <w:wordWrap/>
        <w:overflowPunct/>
        <w:topLinePunct w:val="0"/>
        <w:bidi w:val="0"/>
        <w:spacing w:after="60" w:line="36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14、</w:t>
      </w:r>
      <w:r>
        <w:rPr>
          <w:rFonts w:hint="eastAsia" w:ascii="宋体" w:hAnsi="宋体" w:eastAsia="宋体" w:cs="宋体"/>
          <w:sz w:val="21"/>
          <w:szCs w:val="21"/>
        </w:rPr>
        <w:t>乙方在任何情况下不得以任何理由留置或以其他方式扣留甲方的货物，否则，乙方应按照扣留货物</w:t>
      </w:r>
      <w:r>
        <w:rPr>
          <w:rFonts w:hint="eastAsia" w:ascii="宋体" w:hAnsi="宋体" w:eastAsia="宋体" w:cs="宋体"/>
          <w:sz w:val="21"/>
          <w:szCs w:val="21"/>
          <w:lang w:eastAsia="zh-CN"/>
        </w:rPr>
        <w:t>销售</w:t>
      </w:r>
      <w:r>
        <w:rPr>
          <w:rFonts w:hint="eastAsia" w:ascii="宋体" w:hAnsi="宋体" w:eastAsia="宋体" w:cs="宋体"/>
          <w:sz w:val="21"/>
          <w:szCs w:val="21"/>
        </w:rPr>
        <w:t>价值的2倍向甲方支付违约金。</w:t>
      </w:r>
    </w:p>
    <w:p>
      <w:pPr>
        <w:keepNext w:val="0"/>
        <w:keepLines w:val="0"/>
        <w:pageBreakBefore w:val="0"/>
        <w:kinsoku/>
        <w:wordWrap/>
        <w:overflowPunct/>
        <w:topLinePunct w:val="0"/>
        <w:autoSpaceDE w:val="0"/>
        <w:autoSpaceDN w:val="0"/>
        <w:bidi w:val="0"/>
        <w:adjustRightInd w:val="0"/>
        <w:snapToGrid w:val="0"/>
        <w:spacing w:line="300" w:lineRule="auto"/>
        <w:ind w:firstLine="420" w:firstLineChars="20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15、乙方未按甲方要求的时间进行装载、送货、提供运输车辆、送达货物或者因乙方运输不当造成货物发生破损（包括外包装破损）、丢失、损毁、变质等情形的，甲方不予支付当次运费，乙方应向甲方支付违约金【5】万元并按照货物价值（货物销售价）赔偿甲方损失；且甲方有权解除本合同，履约保证金不予退还。</w:t>
      </w:r>
    </w:p>
    <w:p>
      <w:pPr>
        <w:keepNext w:val="0"/>
        <w:keepLines w:val="0"/>
        <w:pageBreakBefore w:val="0"/>
        <w:numPr>
          <w:ilvl w:val="-1"/>
          <w:numId w:val="0"/>
        </w:numPr>
        <w:kinsoku/>
        <w:wordWrap/>
        <w:overflowPunct/>
        <w:topLinePunct w:val="0"/>
        <w:autoSpaceDE w:val="0"/>
        <w:autoSpaceDN w:val="0"/>
        <w:bidi w:val="0"/>
        <w:spacing w:line="360" w:lineRule="exact"/>
        <w:jc w:val="left"/>
        <w:textAlignment w:val="auto"/>
        <w:rPr>
          <w:rFonts w:hint="eastAsia" w:ascii="宋体" w:hAnsi="宋体" w:eastAsia="宋体" w:cs="宋体"/>
          <w:b/>
          <w:sz w:val="21"/>
          <w:szCs w:val="21"/>
        </w:rPr>
      </w:pPr>
      <w:bookmarkStart w:id="1" w:name="_Hlk68278240"/>
      <w:r>
        <w:rPr>
          <w:rFonts w:hint="eastAsia" w:ascii="宋体" w:hAnsi="宋体" w:eastAsia="宋体" w:cs="宋体"/>
          <w:b/>
          <w:sz w:val="21"/>
          <w:szCs w:val="21"/>
          <w:lang w:eastAsia="zh-CN"/>
        </w:rPr>
        <w:t>第六条</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运输安全</w:t>
      </w:r>
    </w:p>
    <w:p>
      <w:pPr>
        <w:keepNext w:val="0"/>
        <w:keepLines w:val="0"/>
        <w:pageBreakBefore w:val="0"/>
        <w:kinsoku/>
        <w:wordWrap/>
        <w:overflowPunct/>
        <w:topLinePunct w:val="0"/>
        <w:bidi w:val="0"/>
        <w:spacing w:after="60"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详见本合同</w:t>
      </w:r>
      <w:r>
        <w:rPr>
          <w:rFonts w:hint="eastAsia" w:ascii="宋体" w:hAnsi="宋体" w:eastAsia="宋体" w:cs="宋体"/>
          <w:sz w:val="21"/>
          <w:szCs w:val="21"/>
          <w:highlight w:val="none"/>
        </w:rPr>
        <w:t>附件</w:t>
      </w:r>
      <w:r>
        <w:rPr>
          <w:rFonts w:hint="eastAsia" w:ascii="宋体" w:hAnsi="宋体" w:eastAsia="宋体" w:cs="宋体"/>
          <w:sz w:val="21"/>
          <w:szCs w:val="21"/>
        </w:rPr>
        <w:t>：《运输安全协议》。</w:t>
      </w:r>
    </w:p>
    <w:bookmarkEnd w:id="1"/>
    <w:p>
      <w:pPr>
        <w:keepNext w:val="0"/>
        <w:keepLines w:val="0"/>
        <w:pageBreakBefore w:val="0"/>
        <w:numPr>
          <w:ilvl w:val="-1"/>
          <w:numId w:val="0"/>
        </w:numPr>
        <w:kinsoku/>
        <w:wordWrap/>
        <w:overflowPunct/>
        <w:topLinePunct w:val="0"/>
        <w:autoSpaceDE w:val="0"/>
        <w:autoSpaceDN w:val="0"/>
        <w:bidi w:val="0"/>
        <w:spacing w:line="360" w:lineRule="exact"/>
        <w:jc w:val="left"/>
        <w:textAlignment w:val="auto"/>
        <w:rPr>
          <w:rFonts w:hint="eastAsia" w:ascii="宋体" w:hAnsi="宋体" w:eastAsia="宋体" w:cs="宋体"/>
          <w:b/>
          <w:sz w:val="21"/>
          <w:szCs w:val="21"/>
        </w:rPr>
      </w:pPr>
      <w:bookmarkStart w:id="2" w:name="_Hlk67909785"/>
      <w:r>
        <w:rPr>
          <w:rFonts w:hint="eastAsia" w:ascii="宋体" w:hAnsi="宋体" w:eastAsia="宋体" w:cs="宋体"/>
          <w:b/>
          <w:sz w:val="21"/>
          <w:szCs w:val="21"/>
          <w:lang w:eastAsia="zh-CN"/>
        </w:rPr>
        <w:t>第七条</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争议解决</w:t>
      </w:r>
    </w:p>
    <w:p>
      <w:pPr>
        <w:pStyle w:val="21"/>
        <w:keepNext w:val="0"/>
        <w:keepLines w:val="0"/>
        <w:pageBreakBefore w:val="0"/>
        <w:kinsoku/>
        <w:wordWrap/>
        <w:overflowPunct/>
        <w:topLinePunct w:val="0"/>
        <w:bidi w:val="0"/>
        <w:spacing w:after="60" w:line="360" w:lineRule="exact"/>
        <w:textAlignment w:val="auto"/>
        <w:rPr>
          <w:rFonts w:hint="eastAsia" w:ascii="宋体" w:hAnsi="宋体" w:eastAsia="宋体" w:cs="宋体"/>
          <w:sz w:val="21"/>
          <w:szCs w:val="21"/>
          <w:lang w:bidi="zh-CN"/>
        </w:rPr>
      </w:pPr>
      <w:r>
        <w:rPr>
          <w:rFonts w:hint="eastAsia" w:ascii="宋体" w:hAnsi="宋体" w:eastAsia="宋体" w:cs="宋体"/>
          <w:sz w:val="21"/>
          <w:szCs w:val="21"/>
          <w:lang w:bidi="zh-CN"/>
        </w:rPr>
        <w:t>凡因本合同引起的或与本合同有关的任何争议，双方应当友好协商解决，协商不能达成一致的，双方有权向甲方所在地有管辖权的人民法院提起诉讼。</w:t>
      </w:r>
    </w:p>
    <w:bookmarkEnd w:id="2"/>
    <w:p>
      <w:pPr>
        <w:keepNext w:val="0"/>
        <w:keepLines w:val="0"/>
        <w:pageBreakBefore w:val="0"/>
        <w:numPr>
          <w:ilvl w:val="-1"/>
          <w:numId w:val="0"/>
        </w:numPr>
        <w:kinsoku/>
        <w:wordWrap/>
        <w:overflowPunct/>
        <w:topLinePunct w:val="0"/>
        <w:autoSpaceDE w:val="0"/>
        <w:autoSpaceDN w:val="0"/>
        <w:bidi w:val="0"/>
        <w:spacing w:line="360" w:lineRule="exact"/>
        <w:jc w:val="left"/>
        <w:textAlignment w:val="auto"/>
        <w:rPr>
          <w:rFonts w:hint="eastAsia" w:ascii="宋体" w:hAnsi="宋体" w:eastAsia="宋体" w:cs="宋体"/>
          <w:b/>
          <w:sz w:val="21"/>
          <w:szCs w:val="21"/>
        </w:rPr>
      </w:pPr>
      <w:r>
        <w:rPr>
          <w:rFonts w:hint="eastAsia" w:ascii="宋体" w:hAnsi="宋体" w:eastAsia="宋体" w:cs="宋体"/>
          <w:b/>
          <w:sz w:val="21"/>
          <w:szCs w:val="21"/>
          <w:lang w:eastAsia="zh-CN"/>
        </w:rPr>
        <w:t>第八条</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其他</w:t>
      </w:r>
    </w:p>
    <w:p>
      <w:pPr>
        <w:keepNext w:val="0"/>
        <w:keepLines w:val="0"/>
        <w:pageBreakBefore w:val="0"/>
        <w:numPr>
          <w:ilvl w:val="-1"/>
          <w:numId w:val="0"/>
        </w:numPr>
        <w:kinsoku/>
        <w:wordWrap/>
        <w:overflowPunct/>
        <w:topLinePunct w:val="0"/>
        <w:bidi w:val="0"/>
        <w:spacing w:after="60" w:line="36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任何一方根据本合同约定向另一方发出的文件、通知等均应采用书面形式、以中文书写，并以特快专递或电子邮件发送</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联系方式详见合同签署处</w:t>
      </w:r>
      <w:r>
        <w:rPr>
          <w:rFonts w:hint="eastAsia" w:ascii="宋体" w:hAnsi="宋体" w:eastAsia="宋体" w:cs="宋体"/>
          <w:sz w:val="21"/>
          <w:szCs w:val="21"/>
        </w:rPr>
        <w:t>。文件、通知等若以电子邮件方式发送的，以发送方终端收到发出成功的讯号之日视为送达；以快递方式寄送的，快递官方系统显示签收之日视为送达。任何一方均不得拒收对方发出的文件、通知，若发生拒收的，拒收之日视为送达。双方确认，本条关于送达的约定同等适用于法院、政府机关等文件、文书的送达</w:t>
      </w:r>
      <w:r>
        <w:rPr>
          <w:rFonts w:hint="eastAsia" w:ascii="宋体" w:hAnsi="宋体" w:eastAsia="宋体" w:cs="宋体"/>
          <w:sz w:val="21"/>
          <w:szCs w:val="21"/>
          <w:lang w:eastAsia="zh-CN"/>
        </w:rPr>
        <w:t>。</w:t>
      </w:r>
    </w:p>
    <w:p>
      <w:pPr>
        <w:pStyle w:val="21"/>
        <w:keepNext w:val="0"/>
        <w:keepLines w:val="0"/>
        <w:pageBreakBefore w:val="0"/>
        <w:numPr>
          <w:ilvl w:val="-1"/>
          <w:numId w:val="0"/>
        </w:numPr>
        <w:kinsoku/>
        <w:wordWrap/>
        <w:overflowPunct/>
        <w:topLinePunct w:val="0"/>
        <w:bidi w:val="0"/>
        <w:spacing w:after="60" w:line="360" w:lineRule="exact"/>
        <w:ind w:left="0" w:leftChars="0" w:firstLine="36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本合同附件为本合同的组成部分，与本合同具有同等法律效力。本合同附件与合同正文约定存在不一致的，以合同正文为准。甲乙双方经协商一致，可根据实际情况对本合同附件内容单独进行变更。</w:t>
      </w:r>
    </w:p>
    <w:p>
      <w:pPr>
        <w:pStyle w:val="21"/>
        <w:keepNext w:val="0"/>
        <w:keepLines w:val="0"/>
        <w:pageBreakBefore w:val="0"/>
        <w:numPr>
          <w:ilvl w:val="-1"/>
          <w:numId w:val="0"/>
        </w:numPr>
        <w:kinsoku/>
        <w:wordWrap/>
        <w:overflowPunct/>
        <w:topLinePunct w:val="0"/>
        <w:bidi w:val="0"/>
        <w:spacing w:after="60" w:line="360" w:lineRule="exact"/>
        <w:ind w:left="0" w:leftChars="0" w:firstLine="36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本合同一式 </w:t>
      </w:r>
      <w:r>
        <w:rPr>
          <w:rFonts w:hint="eastAsia"/>
          <w:sz w:val="24"/>
          <w:szCs w:val="24"/>
          <w:u w:val="none"/>
          <w:lang w:val="en-US" w:eastAsia="zh-CN"/>
        </w:rPr>
        <w:t>【2】</w:t>
      </w:r>
      <w:r>
        <w:rPr>
          <w:rFonts w:hint="eastAsia" w:ascii="宋体" w:hAnsi="宋体" w:eastAsia="宋体" w:cs="宋体"/>
          <w:sz w:val="21"/>
          <w:szCs w:val="21"/>
          <w:u w:val="none"/>
        </w:rPr>
        <w:t>份，甲方执</w:t>
      </w:r>
      <w:r>
        <w:rPr>
          <w:rFonts w:hint="eastAsia"/>
          <w:sz w:val="24"/>
          <w:szCs w:val="24"/>
          <w:u w:val="none"/>
          <w:lang w:val="en-US" w:eastAsia="zh-CN"/>
        </w:rPr>
        <w:t>【1】</w:t>
      </w:r>
      <w:r>
        <w:rPr>
          <w:rFonts w:hint="eastAsia" w:ascii="宋体" w:hAnsi="宋体" w:eastAsia="宋体" w:cs="宋体"/>
          <w:sz w:val="21"/>
          <w:szCs w:val="21"/>
          <w:u w:val="none"/>
        </w:rPr>
        <w:t>份，乙方执</w:t>
      </w:r>
      <w:r>
        <w:rPr>
          <w:rFonts w:hint="eastAsia"/>
          <w:sz w:val="24"/>
          <w:szCs w:val="24"/>
          <w:u w:val="none"/>
          <w:lang w:val="en-US" w:eastAsia="zh-CN"/>
        </w:rPr>
        <w:t>【1】</w:t>
      </w:r>
      <w:r>
        <w:rPr>
          <w:rFonts w:hint="eastAsia" w:ascii="宋体" w:hAnsi="宋体" w:eastAsia="宋体" w:cs="宋体"/>
          <w:sz w:val="21"/>
          <w:szCs w:val="21"/>
          <w:u w:val="none"/>
        </w:rPr>
        <w:t>份，</w:t>
      </w:r>
      <w:r>
        <w:rPr>
          <w:rFonts w:hint="eastAsia" w:ascii="宋体" w:hAnsi="宋体" w:eastAsia="宋体" w:cs="宋体"/>
          <w:sz w:val="21"/>
          <w:szCs w:val="21"/>
        </w:rPr>
        <w:t>自双方法定代表人或授权代表签字并加盖公章</w:t>
      </w:r>
      <w:r>
        <w:rPr>
          <w:rFonts w:hint="eastAsia" w:ascii="宋体" w:hAnsi="宋体" w:eastAsia="宋体" w:cs="宋体"/>
          <w:sz w:val="21"/>
          <w:szCs w:val="21"/>
          <w:lang w:val="en-US" w:eastAsia="zh-CN"/>
        </w:rPr>
        <w:t>/捺印</w:t>
      </w:r>
      <w:r>
        <w:rPr>
          <w:rFonts w:hint="eastAsia" w:ascii="宋体" w:hAnsi="宋体" w:eastAsia="宋体" w:cs="宋体"/>
          <w:sz w:val="21"/>
          <w:szCs w:val="21"/>
        </w:rPr>
        <w:t>之日起生效，每份具有同等法律效力。</w:t>
      </w:r>
    </w:p>
    <w:p>
      <w:pPr>
        <w:keepNext w:val="0"/>
        <w:keepLines w:val="0"/>
        <w:pageBreakBefore w:val="0"/>
        <w:kinsoku/>
        <w:wordWrap/>
        <w:overflowPunct/>
        <w:topLinePunct w:val="0"/>
        <w:bidi w:val="0"/>
        <w:spacing w:line="360" w:lineRule="exact"/>
        <w:textAlignment w:val="auto"/>
        <w:rPr>
          <w:rFonts w:hint="eastAsia" w:ascii="宋体" w:hAnsi="宋体" w:eastAsia="宋体" w:cs="宋体"/>
          <w:sz w:val="21"/>
          <w:szCs w:val="21"/>
          <w:highlight w:val="none"/>
          <w:lang w:bidi="zh-CN"/>
        </w:rPr>
      </w:pPr>
      <w:r>
        <w:rPr>
          <w:rFonts w:hint="eastAsia" w:ascii="宋体" w:hAnsi="宋体" w:eastAsia="宋体" w:cs="宋体"/>
          <w:sz w:val="21"/>
          <w:szCs w:val="21"/>
          <w:highlight w:val="none"/>
          <w:lang w:bidi="zh-CN"/>
        </w:rPr>
        <w:t>附件：《运输安全协议》</w:t>
      </w:r>
    </w:p>
    <w:p>
      <w:pPr>
        <w:keepNext w:val="0"/>
        <w:keepLines w:val="0"/>
        <w:pageBreakBefore w:val="0"/>
        <w:kinsoku/>
        <w:wordWrap/>
        <w:overflowPunct/>
        <w:topLinePunct w:val="0"/>
        <w:bidi w:val="0"/>
        <w:spacing w:after="60" w:line="360" w:lineRule="exact"/>
        <w:textAlignment w:val="auto"/>
        <w:rPr>
          <w:rFonts w:hint="eastAsia" w:ascii="宋体" w:hAnsi="宋体" w:eastAsia="宋体" w:cs="宋体"/>
          <w:sz w:val="21"/>
          <w:szCs w:val="21"/>
        </w:rPr>
      </w:pPr>
      <w:r>
        <w:rPr>
          <w:rFonts w:hint="eastAsia" w:ascii="宋体" w:hAnsi="宋体" w:eastAsia="宋体" w:cs="宋体"/>
          <w:sz w:val="21"/>
          <w:szCs w:val="21"/>
          <w:lang w:eastAsia="zh-CN"/>
        </w:rPr>
        <w:t>（以下无正文）</w:t>
      </w:r>
      <w:bookmarkStart w:id="3" w:name="_GoBack"/>
      <w:bookmarkEnd w:id="3"/>
    </w:p>
    <w:tbl>
      <w:tblPr>
        <w:tblStyle w:val="10"/>
        <w:tblpPr w:leftFromText="180" w:rightFromText="180" w:vertAnchor="text" w:horzAnchor="page" w:tblpX="1625" w:tblpY="290"/>
        <w:tblOverlap w:val="never"/>
        <w:tblW w:w="9211" w:type="dxa"/>
        <w:tblInd w:w="0" w:type="dxa"/>
        <w:tblLayout w:type="fixed"/>
        <w:tblCellMar>
          <w:top w:w="0" w:type="dxa"/>
          <w:left w:w="108" w:type="dxa"/>
          <w:bottom w:w="0" w:type="dxa"/>
          <w:right w:w="108" w:type="dxa"/>
        </w:tblCellMar>
      </w:tblPr>
      <w:tblGrid>
        <w:gridCol w:w="1389"/>
        <w:gridCol w:w="3157"/>
        <w:gridCol w:w="1238"/>
        <w:gridCol w:w="3427"/>
      </w:tblGrid>
      <w:tr>
        <w:tblPrEx>
          <w:tblCellMar>
            <w:top w:w="0" w:type="dxa"/>
            <w:left w:w="108" w:type="dxa"/>
            <w:bottom w:w="0" w:type="dxa"/>
            <w:right w:w="108" w:type="dxa"/>
          </w:tblCellMar>
        </w:tblPrEx>
        <w:trPr>
          <w:trHeight w:val="376" w:hRule="atLeast"/>
        </w:trPr>
        <w:tc>
          <w:tcPr>
            <w:tcW w:w="1389" w:type="dxa"/>
            <w:tcBorders>
              <w:top w:val="single" w:color="auto" w:sz="8" w:space="0"/>
              <w:left w:val="single" w:color="auto" w:sz="8" w:space="0"/>
              <w:bottom w:val="single" w:color="auto" w:sz="8" w:space="0"/>
              <w:right w:val="single" w:color="auto" w:sz="8" w:space="0"/>
            </w:tcBorders>
            <w:vAlign w:val="center"/>
          </w:tcPr>
          <w:p>
            <w:pPr>
              <w:widowControl/>
              <w:spacing w:line="4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甲   方：</w:t>
            </w:r>
          </w:p>
        </w:tc>
        <w:tc>
          <w:tcPr>
            <w:tcW w:w="3157" w:type="dxa"/>
            <w:tcBorders>
              <w:top w:val="single" w:color="auto" w:sz="8" w:space="0"/>
              <w:left w:val="nil"/>
              <w:bottom w:val="single" w:color="auto" w:sz="8" w:space="0"/>
              <w:right w:val="single" w:color="auto" w:sz="8" w:space="0"/>
            </w:tcBorders>
            <w:vAlign w:val="center"/>
          </w:tcPr>
          <w:p>
            <w:pPr>
              <w:widowControl/>
              <w:spacing w:line="440" w:lineRule="exact"/>
              <w:jc w:val="left"/>
              <w:rPr>
                <w:rFonts w:hint="eastAsia" w:ascii="宋体" w:hAnsi="宋体" w:eastAsia="宋体" w:cs="宋体"/>
                <w:b/>
                <w:bCs/>
                <w:kern w:val="0"/>
                <w:sz w:val="21"/>
                <w:szCs w:val="21"/>
              </w:rPr>
            </w:pPr>
          </w:p>
        </w:tc>
        <w:tc>
          <w:tcPr>
            <w:tcW w:w="1238" w:type="dxa"/>
            <w:tcBorders>
              <w:top w:val="single" w:color="auto" w:sz="8" w:space="0"/>
              <w:left w:val="nil"/>
              <w:bottom w:val="single" w:color="auto" w:sz="8" w:space="0"/>
              <w:right w:val="single" w:color="auto" w:sz="8" w:space="0"/>
            </w:tcBorders>
            <w:vAlign w:val="center"/>
          </w:tcPr>
          <w:p>
            <w:pPr>
              <w:widowControl/>
              <w:spacing w:line="4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乙  方：</w:t>
            </w:r>
          </w:p>
        </w:tc>
        <w:tc>
          <w:tcPr>
            <w:tcW w:w="3427" w:type="dxa"/>
            <w:tcBorders>
              <w:top w:val="single" w:color="auto" w:sz="8" w:space="0"/>
              <w:left w:val="nil"/>
              <w:bottom w:val="single" w:color="auto" w:sz="8" w:space="0"/>
              <w:right w:val="single" w:color="auto" w:sz="8" w:space="0"/>
            </w:tcBorders>
            <w:vAlign w:val="center"/>
          </w:tcPr>
          <w:p>
            <w:pPr>
              <w:widowControl/>
              <w:spacing w:line="440" w:lineRule="exact"/>
              <w:jc w:val="left"/>
              <w:rPr>
                <w:rFonts w:hint="eastAsia" w:ascii="宋体" w:hAnsi="宋体" w:eastAsia="宋体" w:cs="宋体"/>
                <w:b/>
                <w:bCs/>
                <w:kern w:val="0"/>
                <w:sz w:val="21"/>
                <w:szCs w:val="21"/>
              </w:rPr>
            </w:pPr>
          </w:p>
        </w:tc>
      </w:tr>
      <w:tr>
        <w:tblPrEx>
          <w:tblCellMar>
            <w:top w:w="0" w:type="dxa"/>
            <w:left w:w="108" w:type="dxa"/>
            <w:bottom w:w="0" w:type="dxa"/>
            <w:right w:w="108" w:type="dxa"/>
          </w:tblCellMar>
        </w:tblPrEx>
        <w:trPr>
          <w:trHeight w:val="344" w:hRule="atLeast"/>
        </w:trPr>
        <w:tc>
          <w:tcPr>
            <w:tcW w:w="1389" w:type="dxa"/>
            <w:tcBorders>
              <w:top w:val="nil"/>
              <w:left w:val="single" w:color="auto" w:sz="8" w:space="0"/>
              <w:bottom w:val="single" w:color="auto" w:sz="8" w:space="0"/>
              <w:right w:val="single" w:color="auto" w:sz="8" w:space="0"/>
            </w:tcBorders>
            <w:vAlign w:val="center"/>
          </w:tcPr>
          <w:p>
            <w:pPr>
              <w:widowControl/>
              <w:spacing w:line="4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委托代表：</w:t>
            </w:r>
          </w:p>
        </w:tc>
        <w:tc>
          <w:tcPr>
            <w:tcW w:w="3157" w:type="dxa"/>
            <w:tcBorders>
              <w:top w:val="nil"/>
              <w:left w:val="nil"/>
              <w:bottom w:val="single" w:color="auto" w:sz="8" w:space="0"/>
              <w:right w:val="single" w:color="auto" w:sz="8" w:space="0"/>
            </w:tcBorders>
            <w:vAlign w:val="center"/>
          </w:tcPr>
          <w:p>
            <w:pPr>
              <w:widowControl/>
              <w:spacing w:line="440" w:lineRule="exact"/>
              <w:rPr>
                <w:rFonts w:hint="eastAsia" w:ascii="宋体" w:hAnsi="宋体" w:eastAsia="宋体" w:cs="宋体"/>
                <w:kern w:val="0"/>
                <w:sz w:val="21"/>
                <w:szCs w:val="21"/>
              </w:rPr>
            </w:pPr>
          </w:p>
        </w:tc>
        <w:tc>
          <w:tcPr>
            <w:tcW w:w="1238" w:type="dxa"/>
            <w:tcBorders>
              <w:top w:val="nil"/>
              <w:left w:val="nil"/>
              <w:bottom w:val="single" w:color="auto" w:sz="8" w:space="0"/>
              <w:right w:val="single" w:color="auto" w:sz="8" w:space="0"/>
            </w:tcBorders>
            <w:vAlign w:val="center"/>
          </w:tcPr>
          <w:p>
            <w:pPr>
              <w:widowControl/>
              <w:spacing w:line="4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委托代表：</w:t>
            </w:r>
          </w:p>
        </w:tc>
        <w:tc>
          <w:tcPr>
            <w:tcW w:w="3427" w:type="dxa"/>
            <w:tcBorders>
              <w:top w:val="nil"/>
              <w:left w:val="nil"/>
              <w:bottom w:val="single" w:color="auto" w:sz="8" w:space="0"/>
              <w:right w:val="single" w:color="auto" w:sz="8" w:space="0"/>
            </w:tcBorders>
            <w:vAlign w:val="center"/>
          </w:tcPr>
          <w:p>
            <w:pPr>
              <w:widowControl/>
              <w:spacing w:line="440" w:lineRule="exact"/>
              <w:jc w:val="lef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337" w:hRule="atLeast"/>
        </w:trPr>
        <w:tc>
          <w:tcPr>
            <w:tcW w:w="1389" w:type="dxa"/>
            <w:tcBorders>
              <w:top w:val="nil"/>
              <w:left w:val="single" w:color="auto" w:sz="8" w:space="0"/>
              <w:bottom w:val="single" w:color="auto" w:sz="8" w:space="0"/>
              <w:right w:val="single" w:color="auto" w:sz="8" w:space="0"/>
            </w:tcBorders>
            <w:vAlign w:val="center"/>
          </w:tcPr>
          <w:p>
            <w:pPr>
              <w:widowControl/>
              <w:spacing w:line="4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电</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lang w:eastAsia="zh-CN"/>
              </w:rPr>
              <w:t>话</w:t>
            </w:r>
            <w:r>
              <w:rPr>
                <w:rFonts w:hint="eastAsia" w:ascii="宋体" w:hAnsi="宋体" w:eastAsia="宋体" w:cs="宋体"/>
                <w:kern w:val="0"/>
                <w:sz w:val="21"/>
                <w:szCs w:val="21"/>
              </w:rPr>
              <w:t>：</w:t>
            </w:r>
          </w:p>
        </w:tc>
        <w:tc>
          <w:tcPr>
            <w:tcW w:w="3157" w:type="dxa"/>
            <w:tcBorders>
              <w:top w:val="nil"/>
              <w:left w:val="nil"/>
              <w:bottom w:val="single" w:color="auto" w:sz="8" w:space="0"/>
              <w:right w:val="single" w:color="auto" w:sz="8" w:space="0"/>
            </w:tcBorders>
            <w:vAlign w:val="center"/>
          </w:tcPr>
          <w:p>
            <w:pPr>
              <w:widowControl/>
              <w:spacing w:line="440" w:lineRule="exact"/>
              <w:jc w:val="left"/>
              <w:rPr>
                <w:rFonts w:hint="eastAsia" w:ascii="宋体" w:hAnsi="宋体" w:eastAsia="宋体" w:cs="宋体"/>
                <w:kern w:val="0"/>
                <w:sz w:val="21"/>
                <w:szCs w:val="21"/>
              </w:rPr>
            </w:pPr>
          </w:p>
        </w:tc>
        <w:tc>
          <w:tcPr>
            <w:tcW w:w="1238" w:type="dxa"/>
            <w:tcBorders>
              <w:top w:val="nil"/>
              <w:left w:val="nil"/>
              <w:bottom w:val="single" w:color="auto" w:sz="8" w:space="0"/>
              <w:right w:val="single" w:color="auto" w:sz="8" w:space="0"/>
            </w:tcBorders>
            <w:vAlign w:val="center"/>
          </w:tcPr>
          <w:p>
            <w:pPr>
              <w:widowControl/>
              <w:spacing w:line="4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电</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话：</w:t>
            </w:r>
          </w:p>
        </w:tc>
        <w:tc>
          <w:tcPr>
            <w:tcW w:w="3427" w:type="dxa"/>
            <w:tcBorders>
              <w:top w:val="nil"/>
              <w:left w:val="nil"/>
              <w:bottom w:val="single" w:color="auto" w:sz="8" w:space="0"/>
              <w:right w:val="single" w:color="auto" w:sz="8" w:space="0"/>
            </w:tcBorders>
            <w:vAlign w:val="center"/>
          </w:tcPr>
          <w:p>
            <w:pPr>
              <w:widowControl/>
              <w:spacing w:line="440" w:lineRule="exact"/>
              <w:jc w:val="lef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337" w:hRule="atLeast"/>
        </w:trPr>
        <w:tc>
          <w:tcPr>
            <w:tcW w:w="1389" w:type="dxa"/>
            <w:tcBorders>
              <w:top w:val="nil"/>
              <w:left w:val="single" w:color="auto" w:sz="8" w:space="0"/>
              <w:bottom w:val="single" w:color="auto" w:sz="8" w:space="0"/>
              <w:right w:val="single" w:color="auto" w:sz="8" w:space="0"/>
            </w:tcBorders>
            <w:vAlign w:val="center"/>
          </w:tcPr>
          <w:p>
            <w:pPr>
              <w:widowControl/>
              <w:spacing w:line="440" w:lineRule="exact"/>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邮</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lang w:eastAsia="zh-CN"/>
              </w:rPr>
              <w:t>箱：</w:t>
            </w:r>
          </w:p>
        </w:tc>
        <w:tc>
          <w:tcPr>
            <w:tcW w:w="3157" w:type="dxa"/>
            <w:tcBorders>
              <w:top w:val="nil"/>
              <w:left w:val="nil"/>
              <w:bottom w:val="single" w:color="auto" w:sz="8" w:space="0"/>
              <w:right w:val="single" w:color="auto" w:sz="8" w:space="0"/>
            </w:tcBorders>
            <w:vAlign w:val="center"/>
          </w:tcPr>
          <w:p>
            <w:pPr>
              <w:widowControl/>
              <w:spacing w:line="440" w:lineRule="exact"/>
              <w:jc w:val="left"/>
              <w:rPr>
                <w:rFonts w:hint="eastAsia" w:ascii="宋体" w:hAnsi="宋体" w:eastAsia="宋体" w:cs="宋体"/>
                <w:kern w:val="0"/>
                <w:sz w:val="21"/>
                <w:szCs w:val="21"/>
              </w:rPr>
            </w:pPr>
          </w:p>
        </w:tc>
        <w:tc>
          <w:tcPr>
            <w:tcW w:w="1238" w:type="dxa"/>
            <w:tcBorders>
              <w:top w:val="nil"/>
              <w:left w:val="nil"/>
              <w:bottom w:val="single" w:color="auto" w:sz="8" w:space="0"/>
              <w:right w:val="single" w:color="auto" w:sz="8" w:space="0"/>
            </w:tcBorders>
            <w:vAlign w:val="center"/>
          </w:tcPr>
          <w:p>
            <w:pPr>
              <w:widowControl/>
              <w:spacing w:line="440" w:lineRule="exact"/>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邮</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lang w:eastAsia="zh-CN"/>
              </w:rPr>
              <w:t>箱：</w:t>
            </w:r>
          </w:p>
        </w:tc>
        <w:tc>
          <w:tcPr>
            <w:tcW w:w="3427" w:type="dxa"/>
            <w:tcBorders>
              <w:top w:val="nil"/>
              <w:left w:val="nil"/>
              <w:bottom w:val="single" w:color="auto" w:sz="8" w:space="0"/>
              <w:right w:val="single" w:color="auto" w:sz="8" w:space="0"/>
            </w:tcBorders>
            <w:vAlign w:val="center"/>
          </w:tcPr>
          <w:p>
            <w:pPr>
              <w:widowControl/>
              <w:spacing w:line="440" w:lineRule="exact"/>
              <w:jc w:val="lef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337" w:hRule="atLeast"/>
        </w:trPr>
        <w:tc>
          <w:tcPr>
            <w:tcW w:w="1389" w:type="dxa"/>
            <w:tcBorders>
              <w:top w:val="nil"/>
              <w:left w:val="single" w:color="auto" w:sz="8" w:space="0"/>
              <w:bottom w:val="single" w:color="auto" w:sz="8" w:space="0"/>
              <w:right w:val="single" w:color="auto" w:sz="8" w:space="0"/>
            </w:tcBorders>
            <w:vAlign w:val="center"/>
          </w:tcPr>
          <w:p>
            <w:pPr>
              <w:widowControl/>
              <w:spacing w:line="440" w:lineRule="exac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eastAsia="zh-CN"/>
              </w:rPr>
              <w:t>地</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lang w:eastAsia="zh-CN"/>
              </w:rPr>
              <w:t>址：</w:t>
            </w:r>
            <w:r>
              <w:rPr>
                <w:rFonts w:hint="eastAsia" w:ascii="宋体" w:hAnsi="宋体" w:eastAsia="宋体" w:cs="宋体"/>
                <w:kern w:val="0"/>
                <w:sz w:val="21"/>
                <w:szCs w:val="21"/>
                <w:lang w:val="en-US" w:eastAsia="zh-CN"/>
              </w:rPr>
              <w:t xml:space="preserve"> </w:t>
            </w:r>
          </w:p>
        </w:tc>
        <w:tc>
          <w:tcPr>
            <w:tcW w:w="3157" w:type="dxa"/>
            <w:tcBorders>
              <w:top w:val="nil"/>
              <w:left w:val="nil"/>
              <w:bottom w:val="single" w:color="auto" w:sz="8" w:space="0"/>
              <w:right w:val="single" w:color="auto" w:sz="8" w:space="0"/>
            </w:tcBorders>
            <w:vAlign w:val="center"/>
          </w:tcPr>
          <w:p>
            <w:pPr>
              <w:widowControl/>
              <w:spacing w:line="440" w:lineRule="exact"/>
              <w:jc w:val="left"/>
              <w:rPr>
                <w:rFonts w:hint="eastAsia" w:ascii="宋体" w:hAnsi="宋体" w:eastAsia="宋体" w:cs="宋体"/>
                <w:kern w:val="0"/>
                <w:sz w:val="21"/>
                <w:szCs w:val="21"/>
              </w:rPr>
            </w:pPr>
          </w:p>
        </w:tc>
        <w:tc>
          <w:tcPr>
            <w:tcW w:w="1238" w:type="dxa"/>
            <w:tcBorders>
              <w:top w:val="nil"/>
              <w:left w:val="nil"/>
              <w:bottom w:val="single" w:color="auto" w:sz="8" w:space="0"/>
              <w:right w:val="single" w:color="auto" w:sz="8" w:space="0"/>
            </w:tcBorders>
            <w:vAlign w:val="center"/>
          </w:tcPr>
          <w:p>
            <w:pPr>
              <w:widowControl/>
              <w:spacing w:line="440" w:lineRule="exact"/>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地</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lang w:eastAsia="zh-CN"/>
              </w:rPr>
              <w:t>址：</w:t>
            </w:r>
          </w:p>
        </w:tc>
        <w:tc>
          <w:tcPr>
            <w:tcW w:w="3427" w:type="dxa"/>
            <w:tcBorders>
              <w:top w:val="nil"/>
              <w:left w:val="nil"/>
              <w:bottom w:val="single" w:color="auto" w:sz="8" w:space="0"/>
              <w:right w:val="single" w:color="auto" w:sz="8" w:space="0"/>
            </w:tcBorders>
            <w:vAlign w:val="center"/>
          </w:tcPr>
          <w:p>
            <w:pPr>
              <w:widowControl/>
              <w:spacing w:line="440" w:lineRule="exact"/>
              <w:jc w:val="lef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337" w:hRule="atLeast"/>
        </w:trPr>
        <w:tc>
          <w:tcPr>
            <w:tcW w:w="1389" w:type="dxa"/>
            <w:tcBorders>
              <w:top w:val="nil"/>
              <w:left w:val="single" w:color="auto" w:sz="8" w:space="0"/>
              <w:bottom w:val="single" w:color="auto" w:sz="8" w:space="0"/>
              <w:right w:val="single" w:color="auto" w:sz="8" w:space="0"/>
            </w:tcBorders>
            <w:vAlign w:val="center"/>
          </w:tcPr>
          <w:p>
            <w:pPr>
              <w:widowControl/>
              <w:spacing w:line="440" w:lineRule="exac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签约日期：</w:t>
            </w:r>
          </w:p>
        </w:tc>
        <w:tc>
          <w:tcPr>
            <w:tcW w:w="3157" w:type="dxa"/>
            <w:tcBorders>
              <w:top w:val="nil"/>
              <w:left w:val="nil"/>
              <w:bottom w:val="single" w:color="auto" w:sz="8" w:space="0"/>
              <w:right w:val="single" w:color="auto" w:sz="8" w:space="0"/>
            </w:tcBorders>
            <w:vAlign w:val="center"/>
          </w:tcPr>
          <w:p>
            <w:pPr>
              <w:widowControl/>
              <w:spacing w:line="440" w:lineRule="exact"/>
              <w:jc w:val="left"/>
              <w:rPr>
                <w:rFonts w:hint="eastAsia" w:ascii="宋体" w:hAnsi="宋体" w:eastAsia="宋体" w:cs="宋体"/>
                <w:b/>
                <w:bCs/>
                <w:kern w:val="0"/>
                <w:sz w:val="21"/>
                <w:szCs w:val="21"/>
                <w:lang w:val="en-US" w:eastAsia="zh-CN" w:bidi="ar-SA"/>
              </w:rPr>
            </w:pPr>
          </w:p>
        </w:tc>
        <w:tc>
          <w:tcPr>
            <w:tcW w:w="1238" w:type="dxa"/>
            <w:tcBorders>
              <w:top w:val="nil"/>
              <w:left w:val="nil"/>
              <w:bottom w:val="single" w:color="auto" w:sz="8" w:space="0"/>
              <w:right w:val="single" w:color="auto" w:sz="8" w:space="0"/>
            </w:tcBorders>
            <w:vAlign w:val="center"/>
          </w:tcPr>
          <w:p>
            <w:pPr>
              <w:widowControl/>
              <w:spacing w:line="440" w:lineRule="exac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签约日期：</w:t>
            </w:r>
          </w:p>
        </w:tc>
        <w:tc>
          <w:tcPr>
            <w:tcW w:w="3427" w:type="dxa"/>
            <w:tcBorders>
              <w:top w:val="nil"/>
              <w:left w:val="nil"/>
              <w:bottom w:val="single" w:color="auto" w:sz="8" w:space="0"/>
              <w:right w:val="single" w:color="auto" w:sz="8" w:space="0"/>
            </w:tcBorders>
            <w:vAlign w:val="center"/>
          </w:tcPr>
          <w:p>
            <w:pPr>
              <w:widowControl/>
              <w:spacing w:line="440" w:lineRule="exact"/>
              <w:jc w:val="left"/>
              <w:rPr>
                <w:rFonts w:hint="eastAsia" w:ascii="宋体" w:hAnsi="宋体" w:eastAsia="宋体" w:cs="宋体"/>
                <w:b/>
                <w:bCs/>
                <w:kern w:val="0"/>
                <w:sz w:val="21"/>
                <w:szCs w:val="21"/>
                <w:lang w:val="en-US" w:eastAsia="zh-CN" w:bidi="ar-SA"/>
              </w:rPr>
            </w:pPr>
          </w:p>
        </w:tc>
      </w:tr>
      <w:tr>
        <w:tblPrEx>
          <w:tblCellMar>
            <w:top w:w="0" w:type="dxa"/>
            <w:left w:w="108" w:type="dxa"/>
            <w:bottom w:w="0" w:type="dxa"/>
            <w:right w:w="108" w:type="dxa"/>
          </w:tblCellMar>
        </w:tblPrEx>
        <w:trPr>
          <w:trHeight w:val="353" w:hRule="atLeast"/>
        </w:trPr>
        <w:tc>
          <w:tcPr>
            <w:tcW w:w="1389" w:type="dxa"/>
            <w:tcBorders>
              <w:top w:val="nil"/>
              <w:left w:val="single" w:color="auto" w:sz="8" w:space="0"/>
              <w:bottom w:val="single" w:color="auto" w:sz="8" w:space="0"/>
              <w:right w:val="single" w:color="auto" w:sz="8" w:space="0"/>
            </w:tcBorders>
            <w:vAlign w:val="center"/>
          </w:tcPr>
          <w:p>
            <w:pPr>
              <w:widowControl/>
              <w:spacing w:line="4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开户银行：</w:t>
            </w:r>
          </w:p>
        </w:tc>
        <w:tc>
          <w:tcPr>
            <w:tcW w:w="3157" w:type="dxa"/>
            <w:tcBorders>
              <w:top w:val="nil"/>
              <w:left w:val="nil"/>
              <w:bottom w:val="single" w:color="auto" w:sz="8" w:space="0"/>
              <w:right w:val="single" w:color="auto" w:sz="8" w:space="0"/>
            </w:tcBorders>
            <w:vAlign w:val="center"/>
          </w:tcPr>
          <w:p>
            <w:pPr>
              <w:widowControl/>
              <w:spacing w:line="440" w:lineRule="exact"/>
              <w:jc w:val="left"/>
              <w:rPr>
                <w:rFonts w:hint="eastAsia" w:ascii="宋体" w:hAnsi="宋体" w:eastAsia="宋体" w:cs="宋体"/>
                <w:sz w:val="21"/>
                <w:szCs w:val="21"/>
                <w:highlight w:val="red"/>
              </w:rPr>
            </w:pPr>
          </w:p>
        </w:tc>
        <w:tc>
          <w:tcPr>
            <w:tcW w:w="1238" w:type="dxa"/>
            <w:tcBorders>
              <w:top w:val="nil"/>
              <w:left w:val="nil"/>
              <w:bottom w:val="single" w:color="auto" w:sz="8" w:space="0"/>
              <w:right w:val="single" w:color="auto" w:sz="8" w:space="0"/>
            </w:tcBorders>
            <w:vAlign w:val="center"/>
          </w:tcPr>
          <w:p>
            <w:pPr>
              <w:widowControl/>
              <w:spacing w:line="4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开户银行：</w:t>
            </w:r>
          </w:p>
        </w:tc>
        <w:tc>
          <w:tcPr>
            <w:tcW w:w="3427" w:type="dxa"/>
            <w:tcBorders>
              <w:top w:val="nil"/>
              <w:left w:val="nil"/>
              <w:bottom w:val="single" w:color="auto" w:sz="8" w:space="0"/>
              <w:right w:val="single" w:color="auto" w:sz="8" w:space="0"/>
            </w:tcBorders>
            <w:vAlign w:val="center"/>
          </w:tcPr>
          <w:p>
            <w:pPr>
              <w:widowControl/>
              <w:spacing w:line="440" w:lineRule="exact"/>
              <w:jc w:val="left"/>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346" w:hRule="atLeast"/>
        </w:trPr>
        <w:tc>
          <w:tcPr>
            <w:tcW w:w="1389" w:type="dxa"/>
            <w:tcBorders>
              <w:top w:val="nil"/>
              <w:left w:val="single" w:color="auto" w:sz="8" w:space="0"/>
              <w:bottom w:val="single" w:color="auto" w:sz="8" w:space="0"/>
              <w:right w:val="single" w:color="auto" w:sz="8" w:space="0"/>
            </w:tcBorders>
            <w:vAlign w:val="center"/>
          </w:tcPr>
          <w:p>
            <w:pPr>
              <w:widowControl/>
              <w:spacing w:line="4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账   号：</w:t>
            </w:r>
          </w:p>
        </w:tc>
        <w:tc>
          <w:tcPr>
            <w:tcW w:w="3157" w:type="dxa"/>
            <w:tcBorders>
              <w:top w:val="nil"/>
              <w:left w:val="nil"/>
              <w:bottom w:val="single" w:color="auto" w:sz="8" w:space="0"/>
              <w:right w:val="single" w:color="auto" w:sz="8" w:space="0"/>
            </w:tcBorders>
            <w:vAlign w:val="center"/>
          </w:tcPr>
          <w:p>
            <w:pPr>
              <w:widowControl/>
              <w:spacing w:line="440" w:lineRule="exact"/>
              <w:jc w:val="left"/>
              <w:rPr>
                <w:rFonts w:hint="eastAsia" w:ascii="宋体" w:hAnsi="宋体" w:eastAsia="宋体" w:cs="宋体"/>
                <w:kern w:val="0"/>
                <w:sz w:val="21"/>
                <w:szCs w:val="21"/>
                <w:highlight w:val="red"/>
              </w:rPr>
            </w:pPr>
          </w:p>
        </w:tc>
        <w:tc>
          <w:tcPr>
            <w:tcW w:w="1238" w:type="dxa"/>
            <w:tcBorders>
              <w:top w:val="nil"/>
              <w:left w:val="nil"/>
              <w:bottom w:val="single" w:color="auto" w:sz="8" w:space="0"/>
              <w:right w:val="single" w:color="auto" w:sz="8" w:space="0"/>
            </w:tcBorders>
            <w:vAlign w:val="center"/>
          </w:tcPr>
          <w:p>
            <w:pPr>
              <w:widowControl/>
              <w:spacing w:line="44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账   号：</w:t>
            </w:r>
          </w:p>
        </w:tc>
        <w:tc>
          <w:tcPr>
            <w:tcW w:w="3427" w:type="dxa"/>
            <w:tcBorders>
              <w:top w:val="nil"/>
              <w:left w:val="nil"/>
              <w:bottom w:val="single" w:color="auto" w:sz="8" w:space="0"/>
              <w:right w:val="single" w:color="auto" w:sz="8" w:space="0"/>
            </w:tcBorders>
            <w:vAlign w:val="center"/>
          </w:tcPr>
          <w:p>
            <w:pPr>
              <w:widowControl/>
              <w:spacing w:line="440" w:lineRule="exact"/>
              <w:jc w:val="left"/>
              <w:rPr>
                <w:rFonts w:hint="eastAsia" w:ascii="宋体" w:hAnsi="宋体" w:eastAsia="宋体" w:cs="宋体"/>
                <w:kern w:val="0"/>
                <w:sz w:val="21"/>
                <w:szCs w:val="21"/>
              </w:rPr>
            </w:pPr>
          </w:p>
        </w:tc>
      </w:tr>
    </w:tbl>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lang w:eastAsia="zh-CN"/>
        </w:rPr>
      </w:pPr>
      <w:r>
        <w:rPr>
          <w:rFonts w:hint="eastAsia" w:ascii="仿宋" w:hAnsi="仿宋" w:eastAsia="仿宋" w:cs="仿宋"/>
          <w:sz w:val="21"/>
          <w:szCs w:val="21"/>
          <w:lang w:eastAsia="zh-CN"/>
        </w:rPr>
        <w:t>附件：</w:t>
      </w:r>
    </w:p>
    <w:p>
      <w:pPr>
        <w:pStyle w:val="2"/>
        <w:rPr>
          <w:rFonts w:hint="eastAsia" w:ascii="宋体" w:hAnsi="宋体" w:eastAsia="宋体" w:cs="宋体"/>
          <w:sz w:val="21"/>
          <w:szCs w:val="21"/>
        </w:rPr>
      </w:pPr>
    </w:p>
    <w:p>
      <w:pPr>
        <w:spacing w:line="580" w:lineRule="exact"/>
        <w:jc w:val="center"/>
        <w:rPr>
          <w:rFonts w:ascii="仿宋" w:hAnsi="仿宋" w:eastAsia="仿宋" w:cs="Calibri"/>
          <w:b/>
          <w:sz w:val="28"/>
          <w:szCs w:val="28"/>
        </w:rPr>
      </w:pPr>
      <w:r>
        <w:rPr>
          <w:rFonts w:hint="eastAsia" w:ascii="仿宋" w:hAnsi="仿宋" w:eastAsia="仿宋" w:cs="Calibri"/>
          <w:b/>
          <w:sz w:val="28"/>
          <w:szCs w:val="28"/>
        </w:rPr>
        <w:t>运输安全协议</w:t>
      </w:r>
    </w:p>
    <w:p>
      <w:pPr>
        <w:rPr>
          <w:rFonts w:ascii="仿宋" w:hAnsi="仿宋" w:eastAsia="仿宋" w:cs="Calibri"/>
          <w:sz w:val="24"/>
          <w:szCs w:val="24"/>
        </w:rPr>
      </w:pPr>
      <w:r>
        <w:rPr>
          <w:rFonts w:hint="eastAsia" w:ascii="仿宋" w:hAnsi="仿宋" w:eastAsia="仿宋" w:cs="Calibri"/>
          <w:sz w:val="24"/>
          <w:szCs w:val="24"/>
        </w:rPr>
        <w:t xml:space="preserve">甲 </w:t>
      </w:r>
      <w:r>
        <w:rPr>
          <w:rFonts w:ascii="仿宋" w:hAnsi="仿宋" w:eastAsia="仿宋" w:cs="Calibri"/>
          <w:sz w:val="24"/>
          <w:szCs w:val="24"/>
        </w:rPr>
        <w:t xml:space="preserve"> </w:t>
      </w:r>
      <w:r>
        <w:rPr>
          <w:rFonts w:hint="eastAsia" w:ascii="仿宋" w:hAnsi="仿宋" w:eastAsia="仿宋" w:cs="Calibri"/>
          <w:sz w:val="24"/>
          <w:szCs w:val="24"/>
        </w:rPr>
        <w:t xml:space="preserve">方： </w:t>
      </w:r>
      <w:r>
        <w:rPr>
          <w:rFonts w:ascii="仿宋" w:hAnsi="仿宋" w:eastAsia="仿宋" w:cs="Calibri"/>
          <w:sz w:val="24"/>
          <w:szCs w:val="24"/>
        </w:rPr>
        <w:t xml:space="preserve">                                            </w:t>
      </w:r>
    </w:p>
    <w:p>
      <w:pPr>
        <w:rPr>
          <w:rFonts w:ascii="仿宋" w:hAnsi="仿宋" w:eastAsia="仿宋" w:cs="Calibri"/>
          <w:sz w:val="24"/>
          <w:szCs w:val="24"/>
        </w:rPr>
      </w:pPr>
      <w:r>
        <w:rPr>
          <w:rFonts w:hint="eastAsia" w:ascii="仿宋" w:hAnsi="仿宋" w:eastAsia="仿宋" w:cs="Calibri"/>
          <w:sz w:val="24"/>
          <w:szCs w:val="24"/>
        </w:rPr>
        <w:t xml:space="preserve">乙 </w:t>
      </w:r>
      <w:r>
        <w:rPr>
          <w:rFonts w:ascii="仿宋" w:hAnsi="仿宋" w:eastAsia="仿宋" w:cs="Calibri"/>
          <w:sz w:val="24"/>
          <w:szCs w:val="24"/>
        </w:rPr>
        <w:t xml:space="preserve"> </w:t>
      </w:r>
      <w:r>
        <w:rPr>
          <w:rFonts w:hint="eastAsia" w:ascii="仿宋" w:hAnsi="仿宋" w:eastAsia="仿宋" w:cs="Calibri"/>
          <w:sz w:val="24"/>
          <w:szCs w:val="24"/>
        </w:rPr>
        <w:t xml:space="preserve">方： </w:t>
      </w:r>
      <w:r>
        <w:rPr>
          <w:rFonts w:ascii="仿宋" w:hAnsi="仿宋" w:eastAsia="仿宋" w:cs="Calibri"/>
          <w:sz w:val="24"/>
          <w:szCs w:val="24"/>
        </w:rPr>
        <w:t xml:space="preserve">                                            </w:t>
      </w:r>
    </w:p>
    <w:p>
      <w:pPr>
        <w:ind w:firstLine="420"/>
        <w:rPr>
          <w:rFonts w:ascii="仿宋" w:hAnsi="仿宋" w:eastAsia="仿宋" w:cs="Calibri"/>
          <w:sz w:val="24"/>
          <w:szCs w:val="24"/>
        </w:rPr>
      </w:pPr>
      <w:r>
        <w:rPr>
          <w:rFonts w:hint="eastAsia" w:ascii="仿宋" w:hAnsi="仿宋" w:eastAsia="仿宋" w:cs="Calibri"/>
          <w:sz w:val="24"/>
          <w:szCs w:val="24"/>
        </w:rPr>
        <w:t>为防止和减少安全事故，有效促进双方全面履行经营运输合同，维护双方的合法权益，根据《中华人民共和国道路交通安全法》及相关法律、行政法规和规章，在平等、自愿、公平、诚信的原则下，双方就运输安全事项协商一致，达成如下协议：</w:t>
      </w:r>
    </w:p>
    <w:p>
      <w:pPr>
        <w:pStyle w:val="21"/>
        <w:numPr>
          <w:ilvl w:val="0"/>
          <w:numId w:val="0"/>
        </w:numPr>
        <w:ind w:firstLine="480" w:firstLineChars="200"/>
        <w:rPr>
          <w:rFonts w:ascii="仿宋" w:hAnsi="仿宋" w:eastAsia="仿宋" w:cs="Calibri"/>
          <w:sz w:val="24"/>
          <w:szCs w:val="24"/>
        </w:rPr>
      </w:pPr>
      <w:r>
        <w:rPr>
          <w:rFonts w:hint="eastAsia" w:ascii="仿宋" w:hAnsi="仿宋" w:eastAsia="仿宋" w:cs="Calibri"/>
          <w:sz w:val="24"/>
          <w:szCs w:val="24"/>
          <w:lang w:eastAsia="zh-CN"/>
        </w:rPr>
        <w:t>一、</w:t>
      </w:r>
      <w:r>
        <w:rPr>
          <w:rFonts w:hint="eastAsia" w:ascii="仿宋" w:hAnsi="仿宋" w:eastAsia="仿宋" w:cs="Calibri"/>
          <w:sz w:val="24"/>
          <w:szCs w:val="24"/>
        </w:rPr>
        <w:t>乙方应做到谁的车谁负责，认真执行国家法律、法规、职业道德和岗位技能方面的学习和再培训，运输过程中不开“英雄车”，不得指使、强令车辆驾驶人超限运输货物，不得阻碍道路运输管理机构依法监督检查。车辆上路前应规范装载，车辆装载货物（包含车辆附件）掉落、遗撒、飘散后，车辆驾驶员需及时采取措施处理，造成他人人身、财产损害的，该车驾驶人及实际车辆业主应当依法承担赔偿责任。特定岗位应具备资质人员专业操作。</w:t>
      </w:r>
    </w:p>
    <w:p>
      <w:pPr>
        <w:pStyle w:val="21"/>
        <w:numPr>
          <w:ilvl w:val="0"/>
          <w:numId w:val="0"/>
        </w:numPr>
        <w:ind w:firstLine="480" w:firstLineChars="200"/>
        <w:rPr>
          <w:rFonts w:ascii="仿宋" w:hAnsi="仿宋" w:eastAsia="仿宋" w:cs="Calibri"/>
          <w:sz w:val="24"/>
          <w:szCs w:val="24"/>
        </w:rPr>
      </w:pPr>
      <w:r>
        <w:rPr>
          <w:rFonts w:hint="eastAsia" w:ascii="仿宋" w:hAnsi="仿宋" w:eastAsia="仿宋" w:cs="Calibri"/>
          <w:sz w:val="24"/>
          <w:szCs w:val="24"/>
          <w:lang w:eastAsia="zh-CN"/>
        </w:rPr>
        <w:t>二、</w:t>
      </w:r>
      <w:r>
        <w:rPr>
          <w:rFonts w:hint="eastAsia" w:ascii="仿宋" w:hAnsi="仿宋" w:eastAsia="仿宋" w:cs="Calibri"/>
          <w:sz w:val="24"/>
          <w:szCs w:val="24"/>
        </w:rPr>
        <w:t>乙方进入作业现场的车辆必须手续齐全完备。保证车辆的完好率，禁止带病行驶，超速行驶，超载行驶，严禁无证驾驶、酒后驾驶。</w:t>
      </w:r>
    </w:p>
    <w:p>
      <w:pPr>
        <w:pStyle w:val="21"/>
        <w:numPr>
          <w:ilvl w:val="0"/>
          <w:numId w:val="0"/>
        </w:numPr>
        <w:ind w:firstLine="480" w:firstLineChars="200"/>
        <w:rPr>
          <w:rFonts w:ascii="仿宋" w:hAnsi="仿宋" w:eastAsia="仿宋" w:cs="Calibri"/>
          <w:sz w:val="24"/>
          <w:szCs w:val="24"/>
        </w:rPr>
      </w:pPr>
      <w:r>
        <w:rPr>
          <w:rFonts w:hint="eastAsia" w:ascii="仿宋" w:hAnsi="仿宋" w:eastAsia="仿宋" w:cs="Calibri"/>
          <w:sz w:val="24"/>
          <w:szCs w:val="24"/>
          <w:lang w:eastAsia="zh-CN"/>
        </w:rPr>
        <w:t>三、</w:t>
      </w:r>
      <w:r>
        <w:rPr>
          <w:rFonts w:hint="eastAsia" w:ascii="仿宋" w:hAnsi="仿宋" w:eastAsia="仿宋" w:cs="Calibri"/>
          <w:sz w:val="24"/>
          <w:szCs w:val="24"/>
        </w:rPr>
        <w:t>乙方车辆在转弯或过路口时，要注意来往车辆和行人。要做到一停、二看、三通过。</w:t>
      </w:r>
    </w:p>
    <w:p>
      <w:pPr>
        <w:pStyle w:val="21"/>
        <w:numPr>
          <w:ilvl w:val="0"/>
          <w:numId w:val="0"/>
        </w:numPr>
        <w:ind w:firstLine="480" w:firstLineChars="200"/>
        <w:rPr>
          <w:rFonts w:ascii="仿宋" w:hAnsi="仿宋" w:eastAsia="仿宋" w:cs="Calibri"/>
          <w:sz w:val="24"/>
          <w:szCs w:val="24"/>
        </w:rPr>
      </w:pPr>
      <w:r>
        <w:rPr>
          <w:rFonts w:hint="eastAsia" w:ascii="仿宋" w:hAnsi="仿宋" w:eastAsia="仿宋" w:cs="Calibri"/>
          <w:sz w:val="24"/>
          <w:szCs w:val="24"/>
          <w:lang w:eastAsia="zh-CN"/>
        </w:rPr>
        <w:t>四、</w:t>
      </w:r>
      <w:r>
        <w:rPr>
          <w:rFonts w:hint="eastAsia" w:ascii="仿宋" w:hAnsi="仿宋" w:eastAsia="仿宋" w:cs="Calibri"/>
          <w:sz w:val="24"/>
          <w:szCs w:val="24"/>
        </w:rPr>
        <w:t>乙方车辆行车时要注意安全，注意来往车辆和行人，礼让三先，遵章驾驶。</w:t>
      </w:r>
    </w:p>
    <w:p>
      <w:pPr>
        <w:pStyle w:val="21"/>
        <w:numPr>
          <w:ilvl w:val="0"/>
          <w:numId w:val="0"/>
        </w:numPr>
        <w:ind w:firstLine="480" w:firstLineChars="200"/>
        <w:rPr>
          <w:rFonts w:ascii="仿宋" w:hAnsi="仿宋" w:eastAsia="仿宋" w:cs="Calibri"/>
          <w:sz w:val="24"/>
          <w:szCs w:val="24"/>
        </w:rPr>
      </w:pPr>
      <w:r>
        <w:rPr>
          <w:rFonts w:hint="eastAsia" w:ascii="仿宋" w:hAnsi="仿宋" w:eastAsia="仿宋" w:cs="Calibri"/>
          <w:sz w:val="24"/>
          <w:szCs w:val="24"/>
          <w:lang w:eastAsia="zh-CN"/>
        </w:rPr>
        <w:t>五、</w:t>
      </w:r>
      <w:r>
        <w:rPr>
          <w:rFonts w:hint="eastAsia" w:ascii="仿宋" w:hAnsi="仿宋" w:eastAsia="仿宋" w:cs="Calibri"/>
          <w:sz w:val="24"/>
          <w:szCs w:val="24"/>
        </w:rPr>
        <w:t>乙方必须遵守《中华人民共和国道路交通安全法》等方面的法律、法规和其他要求，以及甲方制订的规章制度和其他要求。</w:t>
      </w:r>
    </w:p>
    <w:p>
      <w:pPr>
        <w:pStyle w:val="21"/>
        <w:numPr>
          <w:ilvl w:val="0"/>
          <w:numId w:val="0"/>
        </w:numPr>
        <w:ind w:firstLine="480" w:firstLineChars="200"/>
        <w:rPr>
          <w:rFonts w:ascii="仿宋" w:hAnsi="仿宋" w:eastAsia="仿宋" w:cs="Calibri"/>
          <w:sz w:val="24"/>
          <w:szCs w:val="24"/>
        </w:rPr>
      </w:pPr>
      <w:r>
        <w:rPr>
          <w:rFonts w:hint="eastAsia" w:ascii="仿宋" w:hAnsi="仿宋" w:eastAsia="仿宋" w:cs="Calibri"/>
          <w:sz w:val="24"/>
          <w:szCs w:val="24"/>
          <w:lang w:eastAsia="zh-CN"/>
        </w:rPr>
        <w:t>六、</w:t>
      </w:r>
      <w:r>
        <w:rPr>
          <w:rFonts w:hint="eastAsia" w:ascii="仿宋" w:hAnsi="仿宋" w:eastAsia="仿宋" w:cs="Calibri"/>
          <w:sz w:val="24"/>
          <w:szCs w:val="24"/>
        </w:rPr>
        <w:t>乙方在作业中所发生的一切车辆及一切人身伤亡事故，所造成的经济损失，甲方概不负责，一切后果由乙方承担；以上规定乙方自愿履行。</w:t>
      </w:r>
    </w:p>
    <w:p>
      <w:pPr>
        <w:pStyle w:val="21"/>
        <w:rPr>
          <w:rFonts w:ascii="仿宋" w:hAnsi="仿宋" w:eastAsia="仿宋" w:cs="Calibri"/>
          <w:sz w:val="24"/>
          <w:szCs w:val="24"/>
        </w:rPr>
      </w:pPr>
      <w:r>
        <w:rPr>
          <w:rFonts w:hint="eastAsia" w:ascii="仿宋" w:hAnsi="仿宋" w:eastAsia="仿宋" w:cs="Calibri"/>
          <w:sz w:val="24"/>
          <w:szCs w:val="24"/>
          <w:lang w:eastAsia="zh-CN"/>
        </w:rPr>
        <w:t>七、</w:t>
      </w:r>
      <w:r>
        <w:rPr>
          <w:rFonts w:hint="eastAsia" w:ascii="仿宋" w:hAnsi="仿宋" w:eastAsia="仿宋" w:cs="Calibri"/>
          <w:sz w:val="24"/>
          <w:szCs w:val="24"/>
        </w:rPr>
        <w:t>本协议自签订之日起生效。</w:t>
      </w:r>
    </w:p>
    <w:p>
      <w:pPr>
        <w:pStyle w:val="21"/>
        <w:rPr>
          <w:rFonts w:hint="eastAsia" w:ascii="仿宋" w:hAnsi="仿宋" w:eastAsia="仿宋" w:cs="Calibri"/>
          <w:sz w:val="24"/>
          <w:szCs w:val="24"/>
          <w:lang w:eastAsia="zh-CN"/>
        </w:rPr>
      </w:pPr>
    </w:p>
    <w:p>
      <w:pPr>
        <w:pStyle w:val="21"/>
        <w:rPr>
          <w:rFonts w:hint="eastAsia" w:ascii="仿宋" w:hAnsi="仿宋" w:eastAsia="仿宋" w:cs="Calibri"/>
          <w:sz w:val="24"/>
          <w:szCs w:val="24"/>
          <w:lang w:eastAsia="zh-CN"/>
        </w:rPr>
      </w:pPr>
      <w:r>
        <w:rPr>
          <w:rFonts w:hint="eastAsia" w:ascii="仿宋" w:hAnsi="仿宋" w:eastAsia="仿宋" w:cs="Calibri"/>
          <w:sz w:val="24"/>
          <w:szCs w:val="24"/>
          <w:lang w:eastAsia="zh-CN"/>
        </w:rPr>
        <w:t>（以下无正文）</w:t>
      </w:r>
    </w:p>
    <w:p>
      <w:pPr>
        <w:pStyle w:val="21"/>
        <w:ind w:left="0" w:leftChars="0" w:firstLine="0" w:firstLineChars="0"/>
        <w:rPr>
          <w:rFonts w:ascii="仿宋" w:hAnsi="仿宋" w:eastAsia="仿宋" w:cs="Calibri"/>
          <w:sz w:val="24"/>
          <w:szCs w:val="24"/>
        </w:rPr>
      </w:pPr>
    </w:p>
    <w:p>
      <w:pPr>
        <w:pStyle w:val="21"/>
        <w:ind w:left="810" w:firstLine="0" w:firstLineChars="0"/>
        <w:rPr>
          <w:rFonts w:ascii="仿宋" w:hAnsi="仿宋" w:eastAsia="仿宋" w:cs="Calibri"/>
          <w:sz w:val="24"/>
          <w:szCs w:val="24"/>
        </w:rPr>
      </w:pPr>
    </w:p>
    <w:p>
      <w:pPr>
        <w:pStyle w:val="21"/>
        <w:ind w:left="810" w:firstLine="0" w:firstLineChars="0"/>
        <w:rPr>
          <w:rFonts w:ascii="仿宋" w:hAnsi="仿宋" w:eastAsia="仿宋" w:cs="Calibri"/>
          <w:sz w:val="24"/>
          <w:szCs w:val="24"/>
        </w:rPr>
      </w:pPr>
    </w:p>
    <w:p>
      <w:pPr>
        <w:pStyle w:val="21"/>
        <w:ind w:left="810" w:firstLine="0" w:firstLineChars="0"/>
        <w:rPr>
          <w:rFonts w:hint="eastAsia" w:ascii="仿宋" w:hAnsi="仿宋" w:eastAsia="仿宋" w:cs="Calibri"/>
          <w:sz w:val="24"/>
          <w:szCs w:val="24"/>
          <w:lang w:eastAsia="zh-CN"/>
        </w:rPr>
      </w:pPr>
      <w:r>
        <w:rPr>
          <w:rFonts w:hint="eastAsia" w:ascii="仿宋" w:hAnsi="仿宋" w:eastAsia="仿宋" w:cs="Calibri"/>
          <w:sz w:val="24"/>
          <w:szCs w:val="24"/>
        </w:rPr>
        <w:t>甲方（盖章）</w:t>
      </w:r>
      <w:r>
        <w:rPr>
          <w:rFonts w:hint="eastAsia" w:ascii="仿宋" w:hAnsi="仿宋" w:eastAsia="仿宋" w:cs="Calibri"/>
          <w:sz w:val="24"/>
          <w:szCs w:val="24"/>
          <w:lang w:eastAsia="zh-CN"/>
        </w:rPr>
        <w:t>：</w:t>
      </w:r>
      <w:r>
        <w:rPr>
          <w:rFonts w:hint="eastAsia" w:ascii="仿宋" w:hAnsi="仿宋" w:eastAsia="仿宋" w:cs="Calibri"/>
          <w:sz w:val="24"/>
          <w:szCs w:val="24"/>
        </w:rPr>
        <w:t xml:space="preserve">  </w:t>
      </w:r>
      <w:r>
        <w:rPr>
          <w:rFonts w:ascii="仿宋" w:hAnsi="仿宋" w:eastAsia="仿宋" w:cs="Calibri"/>
          <w:sz w:val="24"/>
          <w:szCs w:val="24"/>
        </w:rPr>
        <w:t xml:space="preserve">                         </w:t>
      </w:r>
      <w:r>
        <w:rPr>
          <w:rFonts w:hint="eastAsia" w:ascii="仿宋" w:hAnsi="仿宋" w:eastAsia="仿宋" w:cs="Calibri"/>
          <w:sz w:val="24"/>
          <w:szCs w:val="24"/>
        </w:rPr>
        <w:t>乙方（盖章）</w:t>
      </w:r>
      <w:r>
        <w:rPr>
          <w:rFonts w:hint="eastAsia" w:ascii="仿宋" w:hAnsi="仿宋" w:eastAsia="仿宋" w:cs="Calibri"/>
          <w:sz w:val="24"/>
          <w:szCs w:val="24"/>
          <w:lang w:eastAsia="zh-CN"/>
        </w:rPr>
        <w:t>：</w:t>
      </w:r>
    </w:p>
    <w:p>
      <w:pPr>
        <w:pStyle w:val="21"/>
        <w:ind w:left="810" w:firstLine="0" w:firstLineChars="0"/>
        <w:rPr>
          <w:rFonts w:hint="eastAsia" w:ascii="仿宋" w:hAnsi="仿宋" w:eastAsia="仿宋" w:cs="Calibri"/>
          <w:sz w:val="24"/>
          <w:szCs w:val="24"/>
          <w:lang w:eastAsia="zh-CN"/>
        </w:rPr>
      </w:pPr>
    </w:p>
    <w:p>
      <w:pPr>
        <w:pStyle w:val="21"/>
        <w:ind w:left="810" w:firstLine="0" w:firstLineChars="0"/>
        <w:rPr>
          <w:rFonts w:hint="eastAsia" w:ascii="仿宋" w:hAnsi="仿宋" w:eastAsia="仿宋" w:cs="Calibri"/>
          <w:sz w:val="24"/>
          <w:szCs w:val="24"/>
        </w:rPr>
      </w:pPr>
      <w:r>
        <w:rPr>
          <w:rFonts w:hint="eastAsia" w:ascii="仿宋" w:hAnsi="仿宋" w:eastAsia="仿宋" w:cs="Calibri"/>
          <w:sz w:val="24"/>
          <w:szCs w:val="24"/>
          <w:lang w:eastAsia="zh-CN"/>
        </w:rPr>
        <w:t>甲方代表：</w:t>
      </w:r>
      <w:r>
        <w:rPr>
          <w:rFonts w:hint="eastAsia" w:ascii="仿宋" w:hAnsi="仿宋" w:eastAsia="仿宋" w:cs="Calibri"/>
          <w:sz w:val="24"/>
          <w:szCs w:val="24"/>
          <w:lang w:val="en-US" w:eastAsia="zh-CN"/>
        </w:rPr>
        <w:t xml:space="preserve">                              乙方代表：</w:t>
      </w:r>
      <w:r>
        <w:rPr>
          <w:rFonts w:hint="eastAsia" w:ascii="仿宋" w:hAnsi="仿宋" w:eastAsia="仿宋" w:cs="Calibri"/>
          <w:sz w:val="24"/>
          <w:szCs w:val="24"/>
        </w:rPr>
        <w:t xml:space="preserve"> </w:t>
      </w:r>
    </w:p>
    <w:p>
      <w:pPr>
        <w:pStyle w:val="21"/>
        <w:ind w:left="810" w:firstLine="0" w:firstLineChars="0"/>
        <w:rPr>
          <w:rFonts w:hint="eastAsia" w:ascii="仿宋" w:hAnsi="仿宋" w:eastAsia="仿宋" w:cs="Calibri"/>
          <w:sz w:val="24"/>
          <w:szCs w:val="24"/>
        </w:rPr>
      </w:pPr>
    </w:p>
    <w:p>
      <w:pPr>
        <w:pStyle w:val="21"/>
        <w:ind w:left="810" w:firstLine="0" w:firstLineChars="0"/>
        <w:rPr>
          <w:rFonts w:ascii="仿宋" w:hAnsi="仿宋" w:eastAsia="仿宋" w:cs="Calibri"/>
          <w:sz w:val="24"/>
          <w:szCs w:val="24"/>
        </w:rPr>
      </w:pPr>
      <w:r>
        <w:rPr>
          <w:rFonts w:hint="eastAsia" w:ascii="仿宋" w:hAnsi="仿宋" w:eastAsia="仿宋" w:cs="Calibri"/>
          <w:sz w:val="24"/>
          <w:szCs w:val="24"/>
          <w:lang w:eastAsia="zh-CN"/>
        </w:rPr>
        <w:t>联系</w:t>
      </w:r>
      <w:r>
        <w:rPr>
          <w:rFonts w:hint="eastAsia" w:ascii="仿宋" w:hAnsi="仿宋" w:eastAsia="仿宋" w:cs="Calibri"/>
          <w:sz w:val="24"/>
          <w:szCs w:val="24"/>
        </w:rPr>
        <w:t xml:space="preserve">电话： </w:t>
      </w:r>
      <w:r>
        <w:rPr>
          <w:rFonts w:ascii="仿宋" w:hAnsi="仿宋" w:eastAsia="仿宋" w:cs="Calibri"/>
          <w:sz w:val="24"/>
          <w:szCs w:val="24"/>
        </w:rPr>
        <w:t xml:space="preserve">                             </w:t>
      </w:r>
      <w:r>
        <w:rPr>
          <w:rFonts w:hint="eastAsia" w:ascii="仿宋" w:hAnsi="仿宋" w:eastAsia="仿宋" w:cs="Calibri"/>
          <w:sz w:val="24"/>
          <w:szCs w:val="24"/>
          <w:lang w:eastAsia="zh-CN"/>
        </w:rPr>
        <w:t>联系</w:t>
      </w:r>
      <w:r>
        <w:rPr>
          <w:rFonts w:hint="eastAsia" w:ascii="仿宋" w:hAnsi="仿宋" w:eastAsia="仿宋" w:cs="Calibri"/>
          <w:sz w:val="24"/>
          <w:szCs w:val="24"/>
        </w:rPr>
        <w:t>电话：</w:t>
      </w:r>
    </w:p>
    <w:p>
      <w:pPr>
        <w:ind w:firstLine="720" w:firstLineChars="300"/>
        <w:rPr>
          <w:rFonts w:ascii="仿宋" w:hAnsi="仿宋" w:eastAsia="仿宋" w:cs="Calibri"/>
          <w:sz w:val="24"/>
          <w:szCs w:val="24"/>
        </w:rPr>
      </w:pPr>
      <w:r>
        <w:rPr>
          <w:rFonts w:ascii="仿宋" w:hAnsi="仿宋" w:eastAsia="仿宋" w:cs="Calibri"/>
          <w:sz w:val="24"/>
          <w:szCs w:val="24"/>
        </w:rPr>
        <w:t xml:space="preserve">                              </w:t>
      </w:r>
    </w:p>
    <w:p>
      <w:pPr>
        <w:ind w:firstLine="720" w:firstLineChars="300"/>
        <w:rPr>
          <w:rFonts w:ascii="仿宋" w:hAnsi="仿宋" w:eastAsia="仿宋" w:cs="Calibri"/>
          <w:sz w:val="24"/>
          <w:szCs w:val="24"/>
        </w:rPr>
      </w:pPr>
      <w:r>
        <w:rPr>
          <w:rFonts w:ascii="仿宋" w:hAnsi="仿宋" w:eastAsia="仿宋" w:cs="Calibri"/>
          <w:sz w:val="24"/>
          <w:szCs w:val="24"/>
        </w:rPr>
        <w:t xml:space="preserve">    </w:t>
      </w:r>
      <w:r>
        <w:rPr>
          <w:rFonts w:hint="eastAsia" w:ascii="仿宋" w:hAnsi="仿宋" w:eastAsia="仿宋" w:cs="Calibri"/>
          <w:sz w:val="24"/>
          <w:szCs w:val="24"/>
        </w:rPr>
        <w:t xml:space="preserve">年 </w:t>
      </w:r>
      <w:r>
        <w:rPr>
          <w:rFonts w:ascii="仿宋" w:hAnsi="仿宋" w:eastAsia="仿宋" w:cs="Calibri"/>
          <w:sz w:val="24"/>
          <w:szCs w:val="24"/>
        </w:rPr>
        <w:t xml:space="preserve">   </w:t>
      </w:r>
      <w:r>
        <w:rPr>
          <w:rFonts w:hint="eastAsia" w:ascii="仿宋" w:hAnsi="仿宋" w:eastAsia="仿宋" w:cs="Calibri"/>
          <w:sz w:val="24"/>
          <w:szCs w:val="24"/>
        </w:rPr>
        <w:t xml:space="preserve">月 </w:t>
      </w:r>
      <w:r>
        <w:rPr>
          <w:rFonts w:ascii="仿宋" w:hAnsi="仿宋" w:eastAsia="仿宋" w:cs="Calibri"/>
          <w:sz w:val="24"/>
          <w:szCs w:val="24"/>
        </w:rPr>
        <w:t xml:space="preserve">   </w:t>
      </w:r>
      <w:r>
        <w:rPr>
          <w:rFonts w:hint="eastAsia" w:ascii="仿宋" w:hAnsi="仿宋" w:eastAsia="仿宋" w:cs="Calibri"/>
          <w:sz w:val="24"/>
          <w:szCs w:val="24"/>
        </w:rPr>
        <w:t xml:space="preserve">日 </w:t>
      </w:r>
      <w:r>
        <w:rPr>
          <w:rFonts w:ascii="仿宋" w:hAnsi="仿宋" w:eastAsia="仿宋" w:cs="Calibri"/>
          <w:sz w:val="24"/>
          <w:szCs w:val="24"/>
        </w:rPr>
        <w:t xml:space="preserve">                        </w:t>
      </w:r>
      <w:r>
        <w:rPr>
          <w:rFonts w:hint="eastAsia" w:ascii="仿宋" w:hAnsi="仿宋" w:eastAsia="仿宋" w:cs="Calibri"/>
          <w:sz w:val="24"/>
          <w:szCs w:val="24"/>
        </w:rPr>
        <w:t xml:space="preserve">年 </w:t>
      </w:r>
      <w:r>
        <w:rPr>
          <w:rFonts w:ascii="仿宋" w:hAnsi="仿宋" w:eastAsia="仿宋" w:cs="Calibri"/>
          <w:sz w:val="24"/>
          <w:szCs w:val="24"/>
        </w:rPr>
        <w:t xml:space="preserve">   </w:t>
      </w:r>
      <w:r>
        <w:rPr>
          <w:rFonts w:hint="eastAsia" w:ascii="仿宋" w:hAnsi="仿宋" w:eastAsia="仿宋" w:cs="Calibri"/>
          <w:sz w:val="24"/>
          <w:szCs w:val="24"/>
        </w:rPr>
        <w:t xml:space="preserve">月 </w:t>
      </w:r>
      <w:r>
        <w:rPr>
          <w:rFonts w:ascii="仿宋" w:hAnsi="仿宋" w:eastAsia="仿宋" w:cs="Calibri"/>
          <w:sz w:val="24"/>
          <w:szCs w:val="24"/>
        </w:rPr>
        <w:t xml:space="preserve">   </w:t>
      </w:r>
      <w:r>
        <w:rPr>
          <w:rFonts w:hint="eastAsia" w:ascii="仿宋" w:hAnsi="仿宋" w:eastAsia="仿宋" w:cs="Calibri"/>
          <w:sz w:val="24"/>
          <w:szCs w:val="24"/>
        </w:rPr>
        <w:t>日</w:t>
      </w:r>
    </w:p>
    <w:p>
      <w:pPr>
        <w:ind w:firstLine="720" w:firstLineChars="300"/>
        <w:rPr>
          <w:rFonts w:ascii="仿宋" w:hAnsi="仿宋" w:eastAsia="仿宋" w:cs="Calibri"/>
          <w:sz w:val="24"/>
          <w:szCs w:val="24"/>
        </w:rPr>
      </w:pPr>
    </w:p>
    <w:p>
      <w:pPr>
        <w:keepNext w:val="0"/>
        <w:keepLines w:val="0"/>
        <w:pageBreakBefore w:val="0"/>
        <w:kinsoku/>
        <w:wordWrap/>
        <w:overflowPunct/>
        <w:topLinePunct w:val="0"/>
        <w:bidi w:val="0"/>
        <w:spacing w:line="360" w:lineRule="exact"/>
        <w:textAlignment w:val="auto"/>
        <w:rPr>
          <w:rFonts w:hint="eastAsia" w:ascii="宋体" w:hAnsi="宋体" w:eastAsia="宋体" w:cs="宋体"/>
          <w:sz w:val="21"/>
          <w:szCs w:val="21"/>
          <w:lang w:bidi="zh-CN"/>
        </w:rPr>
      </w:pPr>
    </w:p>
    <w:sectPr>
      <w:pgSz w:w="11906" w:h="16838"/>
      <w:pgMar w:top="533" w:right="1416" w:bottom="53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M1MTUxODQ5NGVhYTNjZTRhZWZiZDU3MWRkY2RlZTIifQ=="/>
  </w:docVars>
  <w:rsids>
    <w:rsidRoot w:val="47781F21"/>
    <w:rsid w:val="0001074B"/>
    <w:rsid w:val="000403B4"/>
    <w:rsid w:val="000470EC"/>
    <w:rsid w:val="0005214D"/>
    <w:rsid w:val="0005448E"/>
    <w:rsid w:val="0005609D"/>
    <w:rsid w:val="0006131B"/>
    <w:rsid w:val="000755CA"/>
    <w:rsid w:val="00077F39"/>
    <w:rsid w:val="000A09BE"/>
    <w:rsid w:val="000A4CAF"/>
    <w:rsid w:val="000A574A"/>
    <w:rsid w:val="000B56D8"/>
    <w:rsid w:val="000C1EC9"/>
    <w:rsid w:val="000C352A"/>
    <w:rsid w:val="000C5C17"/>
    <w:rsid w:val="000D614E"/>
    <w:rsid w:val="000E2FE3"/>
    <w:rsid w:val="000E4553"/>
    <w:rsid w:val="000E5166"/>
    <w:rsid w:val="000E76FE"/>
    <w:rsid w:val="000F06AB"/>
    <w:rsid w:val="000F2E8D"/>
    <w:rsid w:val="000F43F1"/>
    <w:rsid w:val="000F475E"/>
    <w:rsid w:val="0011318A"/>
    <w:rsid w:val="001266A2"/>
    <w:rsid w:val="001271FF"/>
    <w:rsid w:val="0013028D"/>
    <w:rsid w:val="001535CE"/>
    <w:rsid w:val="00164944"/>
    <w:rsid w:val="00165113"/>
    <w:rsid w:val="001700D3"/>
    <w:rsid w:val="00174BFB"/>
    <w:rsid w:val="00175C49"/>
    <w:rsid w:val="001825C8"/>
    <w:rsid w:val="001855D1"/>
    <w:rsid w:val="001858D8"/>
    <w:rsid w:val="00191124"/>
    <w:rsid w:val="001959AA"/>
    <w:rsid w:val="001B1946"/>
    <w:rsid w:val="001C12FA"/>
    <w:rsid w:val="001F2C69"/>
    <w:rsid w:val="002013B9"/>
    <w:rsid w:val="00224ACF"/>
    <w:rsid w:val="00235343"/>
    <w:rsid w:val="002365A1"/>
    <w:rsid w:val="0024054A"/>
    <w:rsid w:val="00246778"/>
    <w:rsid w:val="00254D4C"/>
    <w:rsid w:val="00257531"/>
    <w:rsid w:val="00263187"/>
    <w:rsid w:val="00265840"/>
    <w:rsid w:val="00274C0F"/>
    <w:rsid w:val="002759B9"/>
    <w:rsid w:val="0028127A"/>
    <w:rsid w:val="00283123"/>
    <w:rsid w:val="00292D99"/>
    <w:rsid w:val="002949F0"/>
    <w:rsid w:val="002A590B"/>
    <w:rsid w:val="002B1C43"/>
    <w:rsid w:val="002B6263"/>
    <w:rsid w:val="002C4ED0"/>
    <w:rsid w:val="002F2EB7"/>
    <w:rsid w:val="00302214"/>
    <w:rsid w:val="003022AF"/>
    <w:rsid w:val="00317AC5"/>
    <w:rsid w:val="00342D3A"/>
    <w:rsid w:val="0035381C"/>
    <w:rsid w:val="003541ED"/>
    <w:rsid w:val="003630E6"/>
    <w:rsid w:val="003A4DB8"/>
    <w:rsid w:val="003C01B0"/>
    <w:rsid w:val="003C085F"/>
    <w:rsid w:val="003C118A"/>
    <w:rsid w:val="003C44E4"/>
    <w:rsid w:val="003C6528"/>
    <w:rsid w:val="003D68D3"/>
    <w:rsid w:val="003D72DC"/>
    <w:rsid w:val="003E33AD"/>
    <w:rsid w:val="004014EA"/>
    <w:rsid w:val="00413BA2"/>
    <w:rsid w:val="00415614"/>
    <w:rsid w:val="0043257B"/>
    <w:rsid w:val="00432E17"/>
    <w:rsid w:val="00433A2B"/>
    <w:rsid w:val="00450DBF"/>
    <w:rsid w:val="00475FE9"/>
    <w:rsid w:val="00483F3A"/>
    <w:rsid w:val="00493F48"/>
    <w:rsid w:val="004C28BA"/>
    <w:rsid w:val="004C4182"/>
    <w:rsid w:val="004C731C"/>
    <w:rsid w:val="004D0F18"/>
    <w:rsid w:val="004D249C"/>
    <w:rsid w:val="004D6318"/>
    <w:rsid w:val="004E1E71"/>
    <w:rsid w:val="004F14F9"/>
    <w:rsid w:val="004F4F96"/>
    <w:rsid w:val="004F5E28"/>
    <w:rsid w:val="0051508C"/>
    <w:rsid w:val="00515439"/>
    <w:rsid w:val="005251B5"/>
    <w:rsid w:val="00535342"/>
    <w:rsid w:val="00540322"/>
    <w:rsid w:val="00547993"/>
    <w:rsid w:val="00566158"/>
    <w:rsid w:val="00590557"/>
    <w:rsid w:val="00593125"/>
    <w:rsid w:val="005A6755"/>
    <w:rsid w:val="005B610E"/>
    <w:rsid w:val="005C627E"/>
    <w:rsid w:val="005C6AFF"/>
    <w:rsid w:val="005E2847"/>
    <w:rsid w:val="006068C3"/>
    <w:rsid w:val="00606F61"/>
    <w:rsid w:val="00625719"/>
    <w:rsid w:val="00626954"/>
    <w:rsid w:val="006343FC"/>
    <w:rsid w:val="00643073"/>
    <w:rsid w:val="0065207E"/>
    <w:rsid w:val="006554B5"/>
    <w:rsid w:val="0066394D"/>
    <w:rsid w:val="006660DC"/>
    <w:rsid w:val="00680CA0"/>
    <w:rsid w:val="00681FF5"/>
    <w:rsid w:val="00685C17"/>
    <w:rsid w:val="00685F81"/>
    <w:rsid w:val="006A074C"/>
    <w:rsid w:val="006C22C0"/>
    <w:rsid w:val="006C7AF9"/>
    <w:rsid w:val="006E44BC"/>
    <w:rsid w:val="00707665"/>
    <w:rsid w:val="0071279B"/>
    <w:rsid w:val="00727A0A"/>
    <w:rsid w:val="00731527"/>
    <w:rsid w:val="00736471"/>
    <w:rsid w:val="00741AB5"/>
    <w:rsid w:val="007462AD"/>
    <w:rsid w:val="0074794C"/>
    <w:rsid w:val="00751124"/>
    <w:rsid w:val="007566DF"/>
    <w:rsid w:val="0076222C"/>
    <w:rsid w:val="00773EDE"/>
    <w:rsid w:val="00775A31"/>
    <w:rsid w:val="00784152"/>
    <w:rsid w:val="00784517"/>
    <w:rsid w:val="00795C44"/>
    <w:rsid w:val="007A1454"/>
    <w:rsid w:val="007A206C"/>
    <w:rsid w:val="007B55BC"/>
    <w:rsid w:val="007C5942"/>
    <w:rsid w:val="007E1A8F"/>
    <w:rsid w:val="007F21AE"/>
    <w:rsid w:val="007F2F85"/>
    <w:rsid w:val="007F337C"/>
    <w:rsid w:val="007F3885"/>
    <w:rsid w:val="007F69BF"/>
    <w:rsid w:val="00803E10"/>
    <w:rsid w:val="008071EC"/>
    <w:rsid w:val="00811F87"/>
    <w:rsid w:val="00815311"/>
    <w:rsid w:val="008168F1"/>
    <w:rsid w:val="00822145"/>
    <w:rsid w:val="00837A90"/>
    <w:rsid w:val="0084327E"/>
    <w:rsid w:val="00851035"/>
    <w:rsid w:val="008674A6"/>
    <w:rsid w:val="00873B5B"/>
    <w:rsid w:val="0089536E"/>
    <w:rsid w:val="008A1622"/>
    <w:rsid w:val="008B64A1"/>
    <w:rsid w:val="008C01C7"/>
    <w:rsid w:val="008C7308"/>
    <w:rsid w:val="008E5A87"/>
    <w:rsid w:val="00905370"/>
    <w:rsid w:val="00917406"/>
    <w:rsid w:val="00917959"/>
    <w:rsid w:val="00935D3D"/>
    <w:rsid w:val="00967868"/>
    <w:rsid w:val="00980E04"/>
    <w:rsid w:val="00991532"/>
    <w:rsid w:val="009C4F9D"/>
    <w:rsid w:val="009C52C9"/>
    <w:rsid w:val="009D387D"/>
    <w:rsid w:val="009D3CDE"/>
    <w:rsid w:val="00A0416C"/>
    <w:rsid w:val="00A052A9"/>
    <w:rsid w:val="00A07802"/>
    <w:rsid w:val="00A11835"/>
    <w:rsid w:val="00A17B24"/>
    <w:rsid w:val="00A23EA4"/>
    <w:rsid w:val="00A32E8F"/>
    <w:rsid w:val="00A41AA3"/>
    <w:rsid w:val="00A4731F"/>
    <w:rsid w:val="00A515D3"/>
    <w:rsid w:val="00A63C0C"/>
    <w:rsid w:val="00A65742"/>
    <w:rsid w:val="00A97875"/>
    <w:rsid w:val="00AA7F57"/>
    <w:rsid w:val="00AC7D0E"/>
    <w:rsid w:val="00AD1C45"/>
    <w:rsid w:val="00AE0700"/>
    <w:rsid w:val="00AE4A10"/>
    <w:rsid w:val="00AF2F50"/>
    <w:rsid w:val="00B02354"/>
    <w:rsid w:val="00B075FC"/>
    <w:rsid w:val="00B207C2"/>
    <w:rsid w:val="00B323C9"/>
    <w:rsid w:val="00B40610"/>
    <w:rsid w:val="00B45A0C"/>
    <w:rsid w:val="00B52414"/>
    <w:rsid w:val="00B565D4"/>
    <w:rsid w:val="00B62A35"/>
    <w:rsid w:val="00B67998"/>
    <w:rsid w:val="00B81B08"/>
    <w:rsid w:val="00B90298"/>
    <w:rsid w:val="00BA3D44"/>
    <w:rsid w:val="00BB1A4C"/>
    <w:rsid w:val="00BB5F18"/>
    <w:rsid w:val="00BD115D"/>
    <w:rsid w:val="00BD558F"/>
    <w:rsid w:val="00BD7CA0"/>
    <w:rsid w:val="00BE3EF0"/>
    <w:rsid w:val="00BF1EFF"/>
    <w:rsid w:val="00BF39E2"/>
    <w:rsid w:val="00C00203"/>
    <w:rsid w:val="00C12518"/>
    <w:rsid w:val="00C21733"/>
    <w:rsid w:val="00C30666"/>
    <w:rsid w:val="00C308EA"/>
    <w:rsid w:val="00C332C0"/>
    <w:rsid w:val="00C41A87"/>
    <w:rsid w:val="00C44F09"/>
    <w:rsid w:val="00C6723D"/>
    <w:rsid w:val="00C71060"/>
    <w:rsid w:val="00C72D92"/>
    <w:rsid w:val="00C83EAB"/>
    <w:rsid w:val="00C8537F"/>
    <w:rsid w:val="00C86AD6"/>
    <w:rsid w:val="00C876B8"/>
    <w:rsid w:val="00C87C1D"/>
    <w:rsid w:val="00CA7B52"/>
    <w:rsid w:val="00CC1426"/>
    <w:rsid w:val="00CC3253"/>
    <w:rsid w:val="00CC75B4"/>
    <w:rsid w:val="00CD7771"/>
    <w:rsid w:val="00CE4362"/>
    <w:rsid w:val="00CE4458"/>
    <w:rsid w:val="00CF269C"/>
    <w:rsid w:val="00D1169A"/>
    <w:rsid w:val="00D14DA7"/>
    <w:rsid w:val="00D214FD"/>
    <w:rsid w:val="00D24B90"/>
    <w:rsid w:val="00D44350"/>
    <w:rsid w:val="00D622AF"/>
    <w:rsid w:val="00D65D62"/>
    <w:rsid w:val="00D73B93"/>
    <w:rsid w:val="00D76FCC"/>
    <w:rsid w:val="00DA03E3"/>
    <w:rsid w:val="00DA19DD"/>
    <w:rsid w:val="00DA435C"/>
    <w:rsid w:val="00DB00B2"/>
    <w:rsid w:val="00DB6638"/>
    <w:rsid w:val="00DC0174"/>
    <w:rsid w:val="00DC06FF"/>
    <w:rsid w:val="00DC5A13"/>
    <w:rsid w:val="00DC68A3"/>
    <w:rsid w:val="00DC70A5"/>
    <w:rsid w:val="00DD2D0D"/>
    <w:rsid w:val="00DD7ED5"/>
    <w:rsid w:val="00DE3A02"/>
    <w:rsid w:val="00DE6C2F"/>
    <w:rsid w:val="00E00A35"/>
    <w:rsid w:val="00E0748F"/>
    <w:rsid w:val="00E15E08"/>
    <w:rsid w:val="00E228BC"/>
    <w:rsid w:val="00E355EA"/>
    <w:rsid w:val="00E35C07"/>
    <w:rsid w:val="00E42A20"/>
    <w:rsid w:val="00E51789"/>
    <w:rsid w:val="00E54630"/>
    <w:rsid w:val="00E612B5"/>
    <w:rsid w:val="00E640DB"/>
    <w:rsid w:val="00E64CF4"/>
    <w:rsid w:val="00E73667"/>
    <w:rsid w:val="00E73C35"/>
    <w:rsid w:val="00E84E2F"/>
    <w:rsid w:val="00E91ABB"/>
    <w:rsid w:val="00EB0A72"/>
    <w:rsid w:val="00EB1CB4"/>
    <w:rsid w:val="00EC0ABC"/>
    <w:rsid w:val="00ED5F26"/>
    <w:rsid w:val="00ED60B2"/>
    <w:rsid w:val="00EE5AB2"/>
    <w:rsid w:val="00EF346D"/>
    <w:rsid w:val="00F03F05"/>
    <w:rsid w:val="00F05182"/>
    <w:rsid w:val="00F058C5"/>
    <w:rsid w:val="00F05D5D"/>
    <w:rsid w:val="00F06243"/>
    <w:rsid w:val="00F1011A"/>
    <w:rsid w:val="00F22A8F"/>
    <w:rsid w:val="00F32A7A"/>
    <w:rsid w:val="00F34FE8"/>
    <w:rsid w:val="00F52477"/>
    <w:rsid w:val="00F52CC0"/>
    <w:rsid w:val="00F62D72"/>
    <w:rsid w:val="00F65FF4"/>
    <w:rsid w:val="00F660F7"/>
    <w:rsid w:val="00F66C13"/>
    <w:rsid w:val="00F71B30"/>
    <w:rsid w:val="00F7429A"/>
    <w:rsid w:val="00F810A5"/>
    <w:rsid w:val="00F8754B"/>
    <w:rsid w:val="00F912E2"/>
    <w:rsid w:val="00FA206F"/>
    <w:rsid w:val="00FA760A"/>
    <w:rsid w:val="00FB0177"/>
    <w:rsid w:val="00FB0EA2"/>
    <w:rsid w:val="00FB3CF6"/>
    <w:rsid w:val="00FD17DB"/>
    <w:rsid w:val="00FE054C"/>
    <w:rsid w:val="00FE2A26"/>
    <w:rsid w:val="00FF52E6"/>
    <w:rsid w:val="01804A4C"/>
    <w:rsid w:val="05E27A84"/>
    <w:rsid w:val="085A6446"/>
    <w:rsid w:val="08C13797"/>
    <w:rsid w:val="08C2594B"/>
    <w:rsid w:val="0C4C20FB"/>
    <w:rsid w:val="0E484B44"/>
    <w:rsid w:val="0FB259B0"/>
    <w:rsid w:val="11483D9C"/>
    <w:rsid w:val="12E96D73"/>
    <w:rsid w:val="13745783"/>
    <w:rsid w:val="13C76B87"/>
    <w:rsid w:val="148E2112"/>
    <w:rsid w:val="14B043AA"/>
    <w:rsid w:val="16970417"/>
    <w:rsid w:val="1703785A"/>
    <w:rsid w:val="1B5A6058"/>
    <w:rsid w:val="1EDF58E9"/>
    <w:rsid w:val="1F1C1F98"/>
    <w:rsid w:val="231B23CF"/>
    <w:rsid w:val="23C80EDF"/>
    <w:rsid w:val="25B6018D"/>
    <w:rsid w:val="2CCB451E"/>
    <w:rsid w:val="2D4D587B"/>
    <w:rsid w:val="2DBF0527"/>
    <w:rsid w:val="2EA43B7C"/>
    <w:rsid w:val="3038011D"/>
    <w:rsid w:val="311A0B44"/>
    <w:rsid w:val="31F10BF6"/>
    <w:rsid w:val="348A6919"/>
    <w:rsid w:val="35551771"/>
    <w:rsid w:val="3BD50F16"/>
    <w:rsid w:val="3C7544A7"/>
    <w:rsid w:val="3F3F695F"/>
    <w:rsid w:val="42DA0938"/>
    <w:rsid w:val="4568104C"/>
    <w:rsid w:val="47781F21"/>
    <w:rsid w:val="4E3221F7"/>
    <w:rsid w:val="4F974D4C"/>
    <w:rsid w:val="50CC6933"/>
    <w:rsid w:val="51B014ED"/>
    <w:rsid w:val="56E91ACA"/>
    <w:rsid w:val="574170AE"/>
    <w:rsid w:val="58975A79"/>
    <w:rsid w:val="5C426ECC"/>
    <w:rsid w:val="5E5166CA"/>
    <w:rsid w:val="5F420427"/>
    <w:rsid w:val="61D01CA4"/>
    <w:rsid w:val="648D1ADE"/>
    <w:rsid w:val="65E8068C"/>
    <w:rsid w:val="66131A23"/>
    <w:rsid w:val="692757B4"/>
    <w:rsid w:val="6CD8438D"/>
    <w:rsid w:val="723C2213"/>
    <w:rsid w:val="728C0D27"/>
    <w:rsid w:val="74256143"/>
    <w:rsid w:val="74853C92"/>
    <w:rsid w:val="78126567"/>
    <w:rsid w:val="786F523D"/>
    <w:rsid w:val="78C31B1A"/>
    <w:rsid w:val="78CF37B9"/>
    <w:rsid w:val="78F767F5"/>
    <w:rsid w:val="79D044EF"/>
    <w:rsid w:val="7ABB2A50"/>
    <w:rsid w:val="7B03404E"/>
    <w:rsid w:val="7E4B05E8"/>
    <w:rsid w:val="7EC972BE"/>
    <w:rsid w:val="7FB01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21"/>
      <w:szCs w:val="21"/>
    </w:rPr>
  </w:style>
  <w:style w:type="paragraph" w:styleId="4">
    <w:name w:val="annotation text"/>
    <w:basedOn w:val="1"/>
    <w:link w:val="18"/>
    <w:qFormat/>
    <w:uiPriority w:val="0"/>
    <w:pPr>
      <w:jc w:val="left"/>
    </w:pPr>
  </w:style>
  <w:style w:type="paragraph" w:styleId="5">
    <w:name w:val="Balloon Text"/>
    <w:basedOn w:val="1"/>
    <w:link w:val="17"/>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4"/>
    <w:next w:val="4"/>
    <w:link w:val="19"/>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annotation reference"/>
    <w:basedOn w:val="12"/>
    <w:qFormat/>
    <w:uiPriority w:val="0"/>
    <w:rPr>
      <w:sz w:val="21"/>
      <w:szCs w:val="21"/>
    </w:rPr>
  </w:style>
  <w:style w:type="character" w:customStyle="1" w:styleId="15">
    <w:name w:val="页眉 字符"/>
    <w:basedOn w:val="12"/>
    <w:link w:val="7"/>
    <w:qFormat/>
    <w:uiPriority w:val="0"/>
    <w:rPr>
      <w:rFonts w:asciiTheme="minorHAnsi" w:hAnsiTheme="minorHAnsi" w:eastAsiaTheme="minorEastAsia" w:cstheme="minorBidi"/>
      <w:kern w:val="2"/>
      <w:sz w:val="18"/>
      <w:szCs w:val="18"/>
    </w:rPr>
  </w:style>
  <w:style w:type="character" w:customStyle="1" w:styleId="16">
    <w:name w:val="页脚 字符"/>
    <w:basedOn w:val="12"/>
    <w:link w:val="6"/>
    <w:qFormat/>
    <w:uiPriority w:val="0"/>
    <w:rPr>
      <w:rFonts w:asciiTheme="minorHAnsi" w:hAnsiTheme="minorHAnsi" w:eastAsiaTheme="minorEastAsia" w:cstheme="minorBidi"/>
      <w:kern w:val="2"/>
      <w:sz w:val="18"/>
      <w:szCs w:val="18"/>
    </w:rPr>
  </w:style>
  <w:style w:type="character" w:customStyle="1" w:styleId="17">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18">
    <w:name w:val="批注文字 字符"/>
    <w:basedOn w:val="12"/>
    <w:link w:val="4"/>
    <w:qFormat/>
    <w:uiPriority w:val="0"/>
    <w:rPr>
      <w:rFonts w:asciiTheme="minorHAnsi" w:hAnsiTheme="minorHAnsi" w:eastAsiaTheme="minorEastAsia" w:cstheme="minorBidi"/>
      <w:kern w:val="2"/>
      <w:sz w:val="21"/>
      <w:szCs w:val="22"/>
    </w:rPr>
  </w:style>
  <w:style w:type="character" w:customStyle="1" w:styleId="19">
    <w:name w:val="批注主题 字符"/>
    <w:basedOn w:val="18"/>
    <w:link w:val="9"/>
    <w:qFormat/>
    <w:uiPriority w:val="0"/>
    <w:rPr>
      <w:rFonts w:asciiTheme="minorHAnsi" w:hAnsiTheme="minorHAnsi" w:eastAsiaTheme="minorEastAsia" w:cstheme="minorBidi"/>
      <w:b/>
      <w:bCs/>
      <w:kern w:val="2"/>
      <w:sz w:val="21"/>
      <w:szCs w:val="22"/>
    </w:rPr>
  </w:style>
  <w:style w:type="character" w:customStyle="1" w:styleId="20">
    <w:name w:val="title2"/>
    <w:qFormat/>
    <w:uiPriority w:val="0"/>
    <w:rPr>
      <w:rFonts w:hint="eastAsia" w:ascii="微软雅黑" w:hAnsi="微软雅黑" w:eastAsia="微软雅黑"/>
      <w:sz w:val="24"/>
      <w:szCs w:val="24"/>
    </w:rPr>
  </w:style>
  <w:style w:type="paragraph" w:styleId="21">
    <w:name w:val="List Paragraph"/>
    <w:basedOn w:val="1"/>
    <w:qFormat/>
    <w:uiPriority w:val="99"/>
    <w:pPr>
      <w:ind w:firstLine="420" w:firstLineChars="200"/>
    </w:pPr>
  </w:style>
  <w:style w:type="paragraph" w:customStyle="1" w:styleId="2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3950</Words>
  <Characters>3965</Characters>
  <Lines>35</Lines>
  <Paragraphs>10</Paragraphs>
  <TotalTime>1</TotalTime>
  <ScaleCrop>false</ScaleCrop>
  <LinksUpToDate>false</LinksUpToDate>
  <CharactersWithSpaces>4464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2021-03-30T14:07:00Z</dcterms:created>
  <dc:creator>冯家小胖</dc:creator>
  <cp:lastModifiedBy>和丹</cp:lastModifiedBy>
  <dcterms:modified xsi:type="dcterms:W3CDTF">2022-12-12T05:36:56Z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8F8C85BC7EDF4B02827121041C84B76F</vt:lpwstr>
  </property>
</Properties>
</file>