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运输</w:t>
      </w:r>
      <w:r>
        <w:rPr>
          <w:rFonts w:hint="eastAsia" w:ascii="宋体" w:hAnsi="宋体" w:eastAsia="宋体" w:cs="宋体"/>
          <w:b/>
          <w:bCs/>
          <w:sz w:val="28"/>
          <w:szCs w:val="28"/>
          <w:lang w:eastAsia="zh-CN"/>
        </w:rPr>
        <w:t>服务</w:t>
      </w:r>
      <w:r>
        <w:rPr>
          <w:rFonts w:hint="eastAsia" w:ascii="宋体" w:hAnsi="宋体" w:eastAsia="宋体" w:cs="宋体"/>
          <w:b/>
          <w:bCs/>
          <w:sz w:val="28"/>
          <w:szCs w:val="28"/>
        </w:rPr>
        <w:t>合同</w:t>
      </w:r>
    </w:p>
    <w:p>
      <w:pPr>
        <w:spacing w:line="440" w:lineRule="exact"/>
        <w:ind w:right="724" w:firstLine="5783" w:firstLineChars="3200"/>
        <w:rPr>
          <w:rFonts w:hint="eastAsia" w:ascii="宋体" w:hAnsi="宋体" w:eastAsia="宋体" w:cs="宋体"/>
          <w:b/>
          <w:bCs/>
          <w:sz w:val="18"/>
          <w:szCs w:val="18"/>
          <w:u w:val="none"/>
          <w:lang w:eastAsia="zh-CN"/>
        </w:rPr>
      </w:pPr>
      <w:r>
        <w:rPr>
          <w:rFonts w:hint="eastAsia" w:ascii="宋体" w:hAnsi="宋体" w:eastAsia="宋体" w:cs="宋体"/>
          <w:b/>
          <w:bCs/>
          <w:sz w:val="18"/>
          <w:szCs w:val="18"/>
        </w:rPr>
        <w:t>合同编号：</w:t>
      </w:r>
      <w:r>
        <w:rPr>
          <w:rFonts w:hint="eastAsia" w:ascii="宋体" w:hAnsi="宋体" w:eastAsia="宋体" w:cs="宋体"/>
          <w:b/>
          <w:bCs/>
          <w:sz w:val="18"/>
          <w:szCs w:val="18"/>
          <w:u w:val="none"/>
          <w:lang w:eastAsia="zh-CN"/>
        </w:rPr>
        <w:t>【</w:t>
      </w:r>
      <w:r>
        <w:rPr>
          <w:rFonts w:hint="eastAsia" w:ascii="宋体" w:hAnsi="宋体" w:eastAsia="宋体" w:cs="宋体"/>
          <w:b/>
          <w:bCs/>
          <w:sz w:val="18"/>
          <w:szCs w:val="18"/>
          <w:u w:val="none"/>
          <w:lang w:val="en-US" w:eastAsia="zh-CN"/>
        </w:rPr>
        <w:t xml:space="preserve">        </w:t>
      </w:r>
      <w:r>
        <w:rPr>
          <w:rFonts w:hint="eastAsia" w:ascii="宋体" w:hAnsi="宋体" w:eastAsia="宋体" w:cs="宋体"/>
          <w:b/>
          <w:bCs/>
          <w:sz w:val="18"/>
          <w:szCs w:val="18"/>
          <w:u w:val="none"/>
          <w:lang w:eastAsia="zh-CN"/>
        </w:rPr>
        <w:t>】</w:t>
      </w:r>
    </w:p>
    <w:p>
      <w:pPr>
        <w:spacing w:line="440" w:lineRule="exact"/>
        <w:rPr>
          <w:rFonts w:hint="eastAsia" w:ascii="宋体" w:hAnsi="宋体" w:eastAsia="宋体" w:cs="宋体"/>
          <w:b/>
          <w:sz w:val="21"/>
          <w:szCs w:val="21"/>
        </w:rPr>
      </w:pPr>
    </w:p>
    <w:p>
      <w:pPr>
        <w:spacing w:line="440" w:lineRule="exact"/>
        <w:rPr>
          <w:rFonts w:hint="eastAsia" w:ascii="宋体" w:hAnsi="宋体" w:eastAsia="宋体" w:cs="宋体"/>
          <w:b/>
          <w:sz w:val="21"/>
          <w:szCs w:val="21"/>
          <w:u w:val="none"/>
          <w:lang w:eastAsia="zh-CN"/>
        </w:rPr>
      </w:pPr>
      <w:r>
        <w:rPr>
          <w:rFonts w:hint="eastAsia" w:ascii="宋体" w:hAnsi="宋体" w:eastAsia="宋体" w:cs="宋体"/>
          <w:b/>
          <w:sz w:val="21"/>
          <w:szCs w:val="21"/>
        </w:rPr>
        <w:t>甲方（托运方）：</w:t>
      </w:r>
      <w:r>
        <w:rPr>
          <w:rFonts w:hint="eastAsia" w:ascii="宋体" w:hAnsi="宋体" w:eastAsia="宋体" w:cs="宋体"/>
          <w:b/>
          <w:sz w:val="21"/>
          <w:szCs w:val="21"/>
          <w:u w:val="none"/>
          <w:lang w:eastAsia="zh-CN"/>
        </w:rPr>
        <w:t>【</w:t>
      </w:r>
      <w:r>
        <w:rPr>
          <w:rFonts w:hint="eastAsia" w:ascii="宋体" w:hAnsi="宋体" w:eastAsia="宋体" w:cs="宋体"/>
          <w:b/>
          <w:sz w:val="21"/>
          <w:szCs w:val="21"/>
          <w:u w:val="none"/>
          <w:lang w:val="en-US" w:eastAsia="zh-CN"/>
        </w:rPr>
        <w:t xml:space="preserve">                       </w:t>
      </w:r>
      <w:r>
        <w:rPr>
          <w:rFonts w:hint="eastAsia" w:ascii="宋体" w:hAnsi="宋体" w:eastAsia="宋体" w:cs="宋体"/>
          <w:b/>
          <w:sz w:val="21"/>
          <w:szCs w:val="21"/>
          <w:u w:val="none"/>
          <w:lang w:eastAsia="zh-CN"/>
        </w:rPr>
        <w:t>】</w:t>
      </w:r>
    </w:p>
    <w:p>
      <w:pPr>
        <w:tabs>
          <w:tab w:val="left" w:pos="7720"/>
        </w:tabs>
        <w:spacing w:line="440" w:lineRule="exact"/>
        <w:rPr>
          <w:rFonts w:hint="eastAsia" w:ascii="宋体" w:hAnsi="宋体" w:eastAsia="宋体" w:cs="宋体"/>
          <w:b/>
          <w:sz w:val="21"/>
          <w:szCs w:val="21"/>
          <w:u w:val="none"/>
          <w:lang w:eastAsia="zh-CN"/>
        </w:rPr>
      </w:pPr>
      <w:r>
        <w:rPr>
          <w:rFonts w:hint="eastAsia" w:ascii="宋体" w:hAnsi="宋体" w:eastAsia="宋体" w:cs="宋体"/>
          <w:b/>
          <w:sz w:val="21"/>
          <w:szCs w:val="21"/>
        </w:rPr>
        <w:t>乙方（承运方）：</w:t>
      </w:r>
      <w:r>
        <w:rPr>
          <w:rFonts w:hint="eastAsia" w:ascii="宋体" w:hAnsi="宋体" w:eastAsia="宋体" w:cs="宋体"/>
          <w:b/>
          <w:sz w:val="21"/>
          <w:szCs w:val="21"/>
          <w:u w:val="none"/>
          <w:lang w:eastAsia="zh-CN"/>
        </w:rPr>
        <w:t>【</w:t>
      </w:r>
      <w:r>
        <w:rPr>
          <w:rFonts w:hint="eastAsia" w:ascii="宋体" w:hAnsi="宋体" w:eastAsia="宋体" w:cs="宋体"/>
          <w:b/>
          <w:sz w:val="21"/>
          <w:szCs w:val="21"/>
          <w:u w:val="none"/>
          <w:lang w:val="en-US" w:eastAsia="zh-CN"/>
        </w:rPr>
        <w:t xml:space="preserve">                       </w:t>
      </w:r>
      <w:r>
        <w:rPr>
          <w:rFonts w:hint="eastAsia" w:ascii="宋体" w:hAnsi="宋体" w:eastAsia="宋体" w:cs="宋体"/>
          <w:b/>
          <w:sz w:val="21"/>
          <w:szCs w:val="21"/>
          <w:u w:val="none"/>
          <w:lang w:eastAsia="zh-CN"/>
        </w:rPr>
        <w:t>】</w:t>
      </w:r>
    </w:p>
    <w:p>
      <w:pPr>
        <w:spacing w:line="440" w:lineRule="exact"/>
        <w:rPr>
          <w:rFonts w:hint="eastAsia" w:ascii="宋体" w:hAnsi="宋体" w:eastAsia="宋体" w:cs="宋体"/>
          <w:b/>
          <w:sz w:val="21"/>
          <w:szCs w:val="21"/>
        </w:rPr>
      </w:pP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根据中华人民共和国有关法律、法规之规定，甲、乙双方本着平等互利、共同发展的原则, 经友好协商，就乙方承运甲方货物事宜达成一致，特签订本合同以兹共同遵守。</w:t>
      </w:r>
    </w:p>
    <w:p>
      <w:pPr>
        <w:numPr>
          <w:ilvl w:val="-1"/>
          <w:numId w:val="0"/>
        </w:numPr>
        <w:autoSpaceDE w:val="0"/>
        <w:autoSpaceDN w:val="0"/>
        <w:spacing w:line="440" w:lineRule="exact"/>
        <w:jc w:val="left"/>
        <w:rPr>
          <w:rFonts w:hint="eastAsia" w:ascii="宋体" w:hAnsi="宋体" w:eastAsia="宋体" w:cs="宋体"/>
          <w:b/>
          <w:sz w:val="21"/>
          <w:szCs w:val="21"/>
        </w:rPr>
      </w:pPr>
      <w:r>
        <w:rPr>
          <w:rFonts w:hint="eastAsia" w:ascii="宋体" w:hAnsi="宋体" w:eastAsia="宋体" w:cs="宋体"/>
          <w:b/>
          <w:sz w:val="21"/>
          <w:szCs w:val="21"/>
          <w:lang w:eastAsia="zh-CN"/>
        </w:rPr>
        <w:t>第一条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合同期限与终止</w:t>
      </w:r>
    </w:p>
    <w:p>
      <w:pPr>
        <w:spacing w:line="440" w:lineRule="exact"/>
        <w:ind w:firstLine="420" w:firstLineChars="200"/>
        <w:rPr>
          <w:rFonts w:hint="eastAsia" w:ascii="宋体" w:hAnsi="宋体" w:eastAsia="宋体" w:cs="宋体"/>
          <w:sz w:val="21"/>
          <w:szCs w:val="21"/>
          <w:u w:val="none"/>
        </w:rPr>
      </w:pPr>
      <w:r>
        <w:rPr>
          <w:rFonts w:hint="eastAsia" w:ascii="宋体" w:hAnsi="宋体" w:eastAsia="宋体" w:cs="宋体"/>
          <w:sz w:val="21"/>
          <w:szCs w:val="21"/>
        </w:rPr>
        <w:t>1、本合同期限自</w:t>
      </w:r>
      <w:r>
        <w:rPr>
          <w:rFonts w:hint="eastAsia"/>
          <w:sz w:val="24"/>
          <w:szCs w:val="24"/>
          <w:u w:val="none"/>
          <w:lang w:val="en-US" w:eastAsia="zh-CN"/>
        </w:rPr>
        <w:t>【   】</w:t>
      </w:r>
      <w:r>
        <w:rPr>
          <w:rFonts w:hint="eastAsia" w:ascii="宋体" w:hAnsi="宋体" w:eastAsia="宋体" w:cs="宋体"/>
          <w:sz w:val="21"/>
          <w:szCs w:val="21"/>
          <w:u w:val="none"/>
        </w:rPr>
        <w:t>年</w:t>
      </w:r>
      <w:r>
        <w:rPr>
          <w:rFonts w:hint="eastAsia"/>
          <w:sz w:val="24"/>
          <w:szCs w:val="24"/>
          <w:u w:val="none"/>
          <w:lang w:val="en-US" w:eastAsia="zh-CN"/>
        </w:rPr>
        <w:t>【 】</w:t>
      </w:r>
      <w:r>
        <w:rPr>
          <w:rFonts w:hint="eastAsia" w:ascii="宋体" w:hAnsi="宋体" w:eastAsia="宋体" w:cs="宋体"/>
          <w:sz w:val="21"/>
          <w:szCs w:val="21"/>
          <w:u w:val="none"/>
        </w:rPr>
        <w:t>月</w:t>
      </w:r>
      <w:r>
        <w:rPr>
          <w:rFonts w:hint="eastAsia"/>
          <w:sz w:val="24"/>
          <w:szCs w:val="24"/>
          <w:u w:val="none"/>
          <w:lang w:val="en-US" w:eastAsia="zh-CN"/>
        </w:rPr>
        <w:t>【 】</w:t>
      </w:r>
      <w:r>
        <w:rPr>
          <w:rFonts w:hint="eastAsia" w:ascii="宋体" w:hAnsi="宋体" w:eastAsia="宋体" w:cs="宋体"/>
          <w:sz w:val="21"/>
          <w:szCs w:val="21"/>
          <w:u w:val="none"/>
        </w:rPr>
        <w:t>日起至</w:t>
      </w:r>
      <w:r>
        <w:rPr>
          <w:rFonts w:hint="eastAsia"/>
          <w:sz w:val="24"/>
          <w:szCs w:val="24"/>
          <w:u w:val="none"/>
          <w:lang w:val="en-US" w:eastAsia="zh-CN"/>
        </w:rPr>
        <w:t>【   】</w:t>
      </w:r>
      <w:r>
        <w:rPr>
          <w:rFonts w:hint="eastAsia" w:ascii="宋体" w:hAnsi="宋体" w:eastAsia="宋体" w:cs="宋体"/>
          <w:sz w:val="21"/>
          <w:szCs w:val="21"/>
          <w:u w:val="none"/>
        </w:rPr>
        <w:t>年</w:t>
      </w:r>
      <w:r>
        <w:rPr>
          <w:rFonts w:hint="eastAsia"/>
          <w:sz w:val="24"/>
          <w:szCs w:val="24"/>
          <w:u w:val="none"/>
          <w:lang w:val="en-US" w:eastAsia="zh-CN"/>
        </w:rPr>
        <w:t>【 】</w:t>
      </w:r>
      <w:r>
        <w:rPr>
          <w:rFonts w:hint="eastAsia" w:ascii="宋体" w:hAnsi="宋体" w:eastAsia="宋体" w:cs="宋体"/>
          <w:sz w:val="21"/>
          <w:szCs w:val="21"/>
          <w:u w:val="none"/>
        </w:rPr>
        <w:t xml:space="preserve">月 </w:t>
      </w:r>
      <w:r>
        <w:rPr>
          <w:rFonts w:hint="eastAsia"/>
          <w:sz w:val="24"/>
          <w:szCs w:val="24"/>
          <w:u w:val="none"/>
          <w:lang w:val="en-US" w:eastAsia="zh-CN"/>
        </w:rPr>
        <w:t>【 】</w:t>
      </w:r>
      <w:r>
        <w:rPr>
          <w:rFonts w:hint="eastAsia" w:ascii="宋体" w:hAnsi="宋体" w:eastAsia="宋体" w:cs="宋体"/>
          <w:sz w:val="21"/>
          <w:szCs w:val="21"/>
          <w:u w:val="none"/>
        </w:rPr>
        <w:t>日止。</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合同期满后，若任何一方有意续约，则应于合同到期前30日通知对方,双方协商一致后续签。本合同到期乙方不续签但甲方尚未找到第三方承运商承接本合同业务的，乙方需按本合同条款继续履行一个月，合同期限相应延长一个月。</w:t>
      </w:r>
    </w:p>
    <w:p>
      <w:pPr>
        <w:spacing w:line="440" w:lineRule="exact"/>
        <w:ind w:firstLine="420" w:firstLineChars="200"/>
        <w:rPr>
          <w:rFonts w:hint="eastAsia"/>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rPr>
        <w:t>乙方主动要求提前终止本合同的，需提前[1]个月向甲方提出书面申请，甲方同意且找到第三方承运人接替后本合同方可提前终止。若乙方在未经甲方书面同意或未找到新的承运人前就终止合同的，乙方应承担甲方因此聘请第三方的运输费用、客户投诉、货物受损、客户罚款等损失，并按照该损失金额的30%承担违约金。</w:t>
      </w:r>
    </w:p>
    <w:p>
      <w:pPr>
        <w:spacing w:line="440" w:lineRule="exact"/>
        <w:rPr>
          <w:rFonts w:hint="eastAsia" w:ascii="宋体" w:hAnsi="宋体" w:eastAsia="宋体" w:cs="宋体"/>
          <w:b/>
          <w:sz w:val="21"/>
          <w:szCs w:val="21"/>
        </w:rPr>
      </w:pPr>
      <w:r>
        <w:rPr>
          <w:rFonts w:hint="eastAsia" w:ascii="宋体" w:hAnsi="宋体" w:eastAsia="宋体" w:cs="宋体"/>
          <w:b/>
          <w:sz w:val="21"/>
          <w:szCs w:val="21"/>
          <w:lang w:eastAsia="zh-CN"/>
        </w:rPr>
        <w:t>第二条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承运线路</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承运线路及价格以本合同</w:t>
      </w:r>
      <w:r>
        <w:rPr>
          <w:rFonts w:hint="eastAsia" w:ascii="宋体" w:hAnsi="宋体" w:eastAsia="宋体" w:cs="宋体"/>
          <w:sz w:val="21"/>
          <w:szCs w:val="21"/>
          <w:highlight w:val="none"/>
        </w:rPr>
        <w:t>附件1</w:t>
      </w:r>
      <w:r>
        <w:rPr>
          <w:rFonts w:hint="eastAsia" w:ascii="宋体" w:hAnsi="宋体" w:eastAsia="宋体" w:cs="宋体"/>
          <w:sz w:val="21"/>
          <w:szCs w:val="21"/>
        </w:rPr>
        <w:t>：《运配线路价格表》为准。 除前述《运配线路价格表》所列明的费用外，甲方不再支付任何其他费用。如有价格、线路等变更，双方需签订补充协议。</w:t>
      </w:r>
    </w:p>
    <w:p>
      <w:pPr>
        <w:keepNext w:val="0"/>
        <w:keepLines w:val="0"/>
        <w:pageBreakBefore w:val="0"/>
        <w:widowControl/>
        <w:kinsoku/>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eastAsia="zh-CN"/>
        </w:rPr>
        <w:t>第三条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运荔枝软件</w:t>
      </w:r>
    </w:p>
    <w:p>
      <w:pPr>
        <w:keepNext w:val="0"/>
        <w:keepLines w:val="0"/>
        <w:pageBreakBefore w:val="0"/>
        <w:widowControl/>
        <w:kinsoku/>
        <w:overflowPunct/>
        <w:topLinePunct w:val="0"/>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“运荔枝软件”</w:t>
      </w:r>
      <w:r>
        <w:rPr>
          <w:rFonts w:hint="eastAsia" w:ascii="宋体" w:hAnsi="宋体" w:eastAsia="宋体" w:cs="宋体"/>
          <w:sz w:val="21"/>
          <w:szCs w:val="21"/>
          <w:lang w:eastAsia="zh-CN"/>
        </w:rPr>
        <w:t>（</w:t>
      </w:r>
      <w:r>
        <w:rPr>
          <w:rFonts w:hint="eastAsia" w:ascii="宋体" w:hAnsi="宋体" w:eastAsia="宋体" w:cs="宋体"/>
          <w:sz w:val="21"/>
          <w:szCs w:val="21"/>
        </w:rPr>
        <w:t>又称“运荔枝平台”或“平台”</w:t>
      </w:r>
      <w:r>
        <w:rPr>
          <w:rFonts w:hint="eastAsia" w:ascii="宋体" w:hAnsi="宋体" w:eastAsia="宋体" w:cs="宋体"/>
          <w:sz w:val="21"/>
          <w:szCs w:val="21"/>
          <w:lang w:eastAsia="zh-CN"/>
        </w:rPr>
        <w:t>）</w:t>
      </w:r>
      <w:r>
        <w:rPr>
          <w:rFonts w:hint="eastAsia" w:ascii="宋体" w:hAnsi="宋体" w:eastAsia="宋体" w:cs="宋体"/>
          <w:sz w:val="21"/>
          <w:szCs w:val="21"/>
        </w:rPr>
        <w:t>是</w:t>
      </w:r>
      <w:r>
        <w:rPr>
          <w:rFonts w:hint="eastAsia" w:ascii="宋体" w:hAnsi="宋体" w:eastAsia="宋体" w:cs="宋体"/>
          <w:sz w:val="21"/>
          <w:szCs w:val="21"/>
          <w:lang w:eastAsia="zh-CN"/>
        </w:rPr>
        <w:t>一款</w:t>
      </w:r>
      <w:r>
        <w:rPr>
          <w:rFonts w:hint="eastAsia" w:ascii="宋体" w:hAnsi="宋体" w:eastAsia="宋体" w:cs="宋体"/>
          <w:sz w:val="21"/>
          <w:szCs w:val="21"/>
        </w:rPr>
        <w:t>开发、运营并提供支持的软件系统（包括网页版、APP端、PC端、小程序等），是一套业务流程管理系统，通过该软件系统，前端客户可实现发起发运需求、查看物流情况、查看送达及回单情况、查询实时库存、货龄等功能，后端承运商可实现承接运输订单、上传物流情况、位置信息、在线回单、对账结算等功能，该软件系统为前端客户及后端承运商提供各项</w:t>
      </w:r>
      <w:r>
        <w:rPr>
          <w:rFonts w:hint="eastAsia" w:ascii="宋体" w:hAnsi="宋体" w:eastAsia="宋体" w:cs="宋体"/>
          <w:sz w:val="21"/>
          <w:szCs w:val="21"/>
          <w:lang w:val="en-US" w:eastAsia="zh-CN"/>
        </w:rPr>
        <w:t>运输</w:t>
      </w:r>
      <w:r>
        <w:rPr>
          <w:rFonts w:hint="eastAsia" w:ascii="宋体" w:hAnsi="宋体" w:eastAsia="宋体" w:cs="宋体"/>
          <w:sz w:val="21"/>
          <w:szCs w:val="21"/>
        </w:rPr>
        <w:t>服务体验。</w:t>
      </w:r>
    </w:p>
    <w:p>
      <w:pPr>
        <w:keepNext w:val="0"/>
        <w:keepLines w:val="0"/>
        <w:pageBreakBefore w:val="0"/>
        <w:widowControl/>
        <w:kinsoku/>
        <w:overflowPunct/>
        <w:topLinePunct w:val="0"/>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乙方在承运甲方业务时需使用运荔枝软件，并应遵守以下约定：</w:t>
      </w:r>
    </w:p>
    <w:p>
      <w:pPr>
        <w:keepNext w:val="0"/>
        <w:keepLines w:val="0"/>
        <w:pageBreakBefore w:val="0"/>
        <w:widowControl/>
        <w:kinsoku/>
        <w:overflowPunct/>
        <w:topLinePunct w:val="0"/>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遵守运荔枝软件系统的用户协议等平台文件，乙方通过运荔枝平台入网认证流程，完成承运商端账号创建，成为运荔枝平台认证承运商。乙方收到平台提供的账号与初始密码后，应及时登录并进行修改，审慎保管和使用账号信息和密码，不得擅自转让或授权他人使用。如乙方</w:t>
      </w:r>
      <w:r>
        <w:rPr>
          <w:rFonts w:hint="eastAsia" w:ascii="宋体" w:hAnsi="宋体" w:eastAsia="宋体" w:cs="宋体"/>
          <w:sz w:val="21"/>
          <w:szCs w:val="21"/>
          <w:lang w:val="en-US" w:eastAsia="zh-CN"/>
        </w:rPr>
        <w:t>使用</w:t>
      </w:r>
      <w:r>
        <w:rPr>
          <w:rFonts w:hint="eastAsia" w:ascii="宋体" w:hAnsi="宋体" w:eastAsia="宋体" w:cs="宋体"/>
          <w:sz w:val="21"/>
          <w:szCs w:val="21"/>
        </w:rPr>
        <w:t>人员发生变更的，应做好工作交接并书面通知甲方及平台锁定账号。乙方确认，通过其账号和密码登录发生的所有行为均视为乙方亲自完成，并承担因此造成的一切行为后果。</w:t>
      </w:r>
    </w:p>
    <w:p>
      <w:pPr>
        <w:keepNext w:val="0"/>
        <w:keepLines w:val="0"/>
        <w:pageBreakBefore w:val="0"/>
        <w:widowControl/>
        <w:kinsoku/>
        <w:overflowPunct/>
        <w:topLinePunct w:val="0"/>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（2）甲方可通过平台向乙方下达订单（含平台自动匹配的订单）。</w:t>
      </w:r>
    </w:p>
    <w:p>
      <w:pPr>
        <w:keepNext w:val="0"/>
        <w:keepLines w:val="0"/>
        <w:pageBreakBefore w:val="0"/>
        <w:widowControl/>
        <w:kinsoku/>
        <w:overflowPunct/>
        <w:topLinePunct w:val="0"/>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（3）乙方交付货物后，应及时上传清晰的</w:t>
      </w:r>
      <w:r>
        <w:rPr>
          <w:rFonts w:hint="eastAsia" w:ascii="宋体" w:hAnsi="宋体" w:eastAsia="宋体" w:cs="宋体"/>
          <w:sz w:val="21"/>
          <w:szCs w:val="21"/>
          <w:lang w:val="en-US" w:eastAsia="zh-CN"/>
        </w:rPr>
        <w:t>经收货人签署确认的</w:t>
      </w:r>
      <w:r>
        <w:rPr>
          <w:rFonts w:hint="eastAsia" w:ascii="宋体" w:hAnsi="宋体" w:eastAsia="宋体" w:cs="宋体"/>
          <w:sz w:val="21"/>
          <w:szCs w:val="21"/>
        </w:rPr>
        <w:t>运单</w:t>
      </w:r>
      <w:r>
        <w:rPr>
          <w:rFonts w:hint="eastAsia" w:ascii="宋体" w:hAnsi="宋体" w:eastAsia="宋体" w:cs="宋体"/>
          <w:sz w:val="21"/>
          <w:szCs w:val="21"/>
          <w:lang w:val="en-US" w:eastAsia="zh-CN"/>
        </w:rPr>
        <w:t>等相关单据</w:t>
      </w:r>
      <w:r>
        <w:rPr>
          <w:rFonts w:hint="eastAsia" w:ascii="宋体" w:hAnsi="宋体" w:eastAsia="宋体" w:cs="宋体"/>
          <w:sz w:val="21"/>
          <w:szCs w:val="21"/>
        </w:rPr>
        <w:t>于平台。</w:t>
      </w:r>
    </w:p>
    <w:p>
      <w:pPr>
        <w:keepNext w:val="0"/>
        <w:keepLines w:val="0"/>
        <w:pageBreakBefore w:val="0"/>
        <w:widowControl/>
        <w:kinsoku/>
        <w:overflowPunct/>
        <w:topLinePunct w:val="0"/>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（4）同意接收甲方通过平台向乙方发出的各类通知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建议乙方通过设置开通平台短信通知便于及时接受各类通知（包括订单）</w:t>
      </w:r>
      <w:r>
        <w:rPr>
          <w:rFonts w:hint="eastAsia" w:ascii="宋体" w:hAnsi="宋体" w:eastAsia="宋体" w:cs="宋体"/>
          <w:sz w:val="21"/>
          <w:szCs w:val="21"/>
        </w:rPr>
        <w:t>。</w:t>
      </w:r>
    </w:p>
    <w:p>
      <w:pPr>
        <w:keepNext w:val="0"/>
        <w:keepLines w:val="0"/>
        <w:pageBreakBefore w:val="0"/>
        <w:widowControl/>
        <w:kinsoku/>
        <w:overflowPunct/>
        <w:topLinePunct w:val="0"/>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本合同关于运荔枝平台的其他约定。</w:t>
      </w:r>
    </w:p>
    <w:p>
      <w:pPr>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3、平台订单</w:t>
      </w:r>
    </w:p>
    <w:p>
      <w:pPr>
        <w:spacing w:beforeLines="-2147483648" w:afterLines="-2147483648"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（甲乙双方</w:t>
      </w:r>
      <w:r>
        <w:rPr>
          <w:rFonts w:hint="eastAsia" w:ascii="宋体" w:hAnsi="宋体" w:eastAsia="宋体" w:cs="宋体"/>
          <w:sz w:val="21"/>
          <w:szCs w:val="21"/>
        </w:rPr>
        <w:t>通过运荔枝平台进行下单</w:t>
      </w:r>
      <w:r>
        <w:rPr>
          <w:rFonts w:hint="eastAsia" w:ascii="宋体" w:hAnsi="宋体" w:eastAsia="宋体" w:cs="宋体"/>
          <w:sz w:val="21"/>
          <w:szCs w:val="21"/>
          <w:lang w:val="en-US" w:eastAsia="zh-CN"/>
        </w:rPr>
        <w:t>及订单确认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双方遵守以下约定：</w:t>
      </w:r>
    </w:p>
    <w:p>
      <w:pPr>
        <w:spacing w:beforeLines="-2147483648" w:afterLines="-2147483648"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w:t>
      </w:r>
      <w:r>
        <w:rPr>
          <w:rFonts w:hint="eastAsia" w:ascii="宋体" w:hAnsi="宋体" w:eastAsia="宋体" w:cs="宋体"/>
          <w:sz w:val="21"/>
          <w:szCs w:val="21"/>
        </w:rPr>
        <w:t>下单时</w:t>
      </w:r>
      <w:r>
        <w:rPr>
          <w:rFonts w:hint="eastAsia" w:ascii="宋体" w:hAnsi="宋体" w:eastAsia="宋体" w:cs="宋体"/>
          <w:sz w:val="21"/>
          <w:szCs w:val="21"/>
          <w:lang w:val="en-US" w:eastAsia="zh-CN"/>
        </w:rPr>
        <w:t>应</w:t>
      </w:r>
      <w:r>
        <w:rPr>
          <w:rFonts w:hint="eastAsia" w:ascii="宋体" w:hAnsi="宋体" w:eastAsia="宋体" w:cs="宋体"/>
          <w:sz w:val="21"/>
          <w:szCs w:val="21"/>
        </w:rPr>
        <w:t>准确填写订单信息（</w:t>
      </w:r>
      <w:r>
        <w:rPr>
          <w:rFonts w:hint="eastAsia" w:ascii="宋体" w:hAnsi="宋体" w:eastAsia="宋体" w:cs="宋体"/>
          <w:sz w:val="21"/>
          <w:szCs w:val="21"/>
          <w:lang w:val="en-US" w:eastAsia="zh-CN"/>
        </w:rPr>
        <w:t>如</w:t>
      </w:r>
      <w:r>
        <w:rPr>
          <w:rFonts w:hint="eastAsia" w:ascii="宋体" w:hAnsi="宋体" w:eastAsia="宋体" w:cs="宋体"/>
          <w:sz w:val="21"/>
          <w:szCs w:val="21"/>
        </w:rPr>
        <w:t>运输货物的品种、规格、数量</w:t>
      </w:r>
      <w:r>
        <w:rPr>
          <w:rFonts w:hint="eastAsia" w:ascii="宋体" w:hAnsi="宋体" w:eastAsia="宋体" w:cs="宋体"/>
          <w:sz w:val="21"/>
          <w:szCs w:val="21"/>
          <w:lang w:val="en-US" w:eastAsia="zh-CN"/>
        </w:rPr>
        <w:t>/</w:t>
      </w:r>
      <w:r>
        <w:rPr>
          <w:rFonts w:hint="eastAsia" w:ascii="宋体" w:hAnsi="宋体" w:eastAsia="宋体" w:cs="宋体"/>
          <w:sz w:val="21"/>
          <w:szCs w:val="21"/>
        </w:rPr>
        <w:t>重量</w:t>
      </w:r>
      <w:r>
        <w:rPr>
          <w:rFonts w:hint="eastAsia" w:ascii="宋体" w:hAnsi="宋体" w:eastAsia="宋体" w:cs="宋体"/>
          <w:sz w:val="21"/>
          <w:szCs w:val="21"/>
          <w:lang w:val="en-US" w:eastAsia="zh-CN"/>
        </w:rPr>
        <w:t>/体积</w:t>
      </w:r>
      <w:r>
        <w:rPr>
          <w:rFonts w:hint="eastAsia" w:ascii="宋体" w:hAnsi="宋体" w:eastAsia="宋体" w:cs="宋体"/>
          <w:sz w:val="21"/>
          <w:szCs w:val="21"/>
        </w:rPr>
        <w:t>、运输温度</w:t>
      </w:r>
      <w:r>
        <w:rPr>
          <w:rFonts w:hint="eastAsia" w:ascii="宋体" w:hAnsi="宋体" w:eastAsia="宋体" w:cs="宋体"/>
          <w:sz w:val="21"/>
          <w:szCs w:val="21"/>
          <w:lang w:val="en-US" w:eastAsia="zh-CN"/>
        </w:rPr>
        <w:t>及要求</w:t>
      </w:r>
      <w:r>
        <w:rPr>
          <w:rFonts w:hint="eastAsia" w:ascii="宋体" w:hAnsi="宋体" w:eastAsia="宋体" w:cs="宋体"/>
          <w:sz w:val="21"/>
          <w:szCs w:val="21"/>
        </w:rPr>
        <w:t>、</w:t>
      </w:r>
      <w:r>
        <w:rPr>
          <w:rFonts w:hint="eastAsia" w:ascii="宋体" w:hAnsi="宋体" w:eastAsia="宋体" w:cs="宋体"/>
          <w:sz w:val="21"/>
          <w:szCs w:val="21"/>
          <w:lang w:val="en-US" w:eastAsia="zh-CN"/>
        </w:rPr>
        <w:t>装运</w:t>
      </w:r>
      <w:r>
        <w:rPr>
          <w:rFonts w:hint="eastAsia" w:ascii="宋体" w:hAnsi="宋体" w:eastAsia="宋体" w:cs="宋体"/>
          <w:sz w:val="21"/>
          <w:szCs w:val="21"/>
        </w:rPr>
        <w:t>地点</w:t>
      </w:r>
      <w:r>
        <w:rPr>
          <w:rFonts w:hint="eastAsia" w:ascii="宋体" w:hAnsi="宋体" w:eastAsia="宋体" w:cs="宋体"/>
          <w:sz w:val="21"/>
          <w:szCs w:val="21"/>
          <w:lang w:val="en-US" w:eastAsia="zh-CN"/>
        </w:rPr>
        <w:t>及联系方式</w:t>
      </w:r>
      <w:r>
        <w:rPr>
          <w:rFonts w:hint="eastAsia" w:ascii="宋体" w:hAnsi="宋体" w:eastAsia="宋体" w:cs="宋体"/>
          <w:sz w:val="21"/>
          <w:szCs w:val="21"/>
        </w:rPr>
        <w:t>、发运时间、收货人名称</w:t>
      </w:r>
      <w:r>
        <w:rPr>
          <w:rFonts w:hint="eastAsia" w:ascii="宋体" w:hAnsi="宋体" w:eastAsia="宋体" w:cs="宋体"/>
          <w:sz w:val="21"/>
          <w:szCs w:val="21"/>
          <w:lang w:val="en-US" w:eastAsia="zh-CN"/>
        </w:rPr>
        <w:t>及</w:t>
      </w:r>
      <w:r>
        <w:rPr>
          <w:rFonts w:hint="eastAsia" w:ascii="宋体" w:hAnsi="宋体" w:eastAsia="宋体" w:cs="宋体"/>
          <w:sz w:val="21"/>
          <w:szCs w:val="21"/>
        </w:rPr>
        <w:t>联系方式、收货地点</w:t>
      </w:r>
      <w:r>
        <w:rPr>
          <w:rFonts w:hint="eastAsia" w:ascii="宋体" w:hAnsi="宋体" w:eastAsia="宋体" w:cs="宋体"/>
          <w:sz w:val="21"/>
          <w:szCs w:val="21"/>
          <w:lang w:eastAsia="zh-CN"/>
        </w:rPr>
        <w:t>、</w:t>
      </w:r>
      <w:r>
        <w:rPr>
          <w:rFonts w:hint="eastAsia" w:ascii="宋体" w:hAnsi="宋体" w:eastAsia="宋体" w:cs="宋体"/>
          <w:sz w:val="21"/>
          <w:szCs w:val="21"/>
        </w:rPr>
        <w:t>送达时间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订单费用</w:t>
      </w:r>
      <w:r>
        <w:rPr>
          <w:rFonts w:hint="eastAsia" w:ascii="宋体" w:hAnsi="宋体" w:eastAsia="宋体" w:cs="宋体"/>
          <w:sz w:val="21"/>
          <w:szCs w:val="21"/>
        </w:rPr>
        <w:t>等信息</w:t>
      </w:r>
      <w:r>
        <w:rPr>
          <w:rFonts w:hint="eastAsia" w:ascii="宋体" w:hAnsi="宋体" w:eastAsia="宋体" w:cs="宋体"/>
          <w:sz w:val="21"/>
          <w:szCs w:val="21"/>
          <w:lang w:eastAsia="zh-CN"/>
        </w:rPr>
        <w:t>）</w:t>
      </w:r>
      <w:r>
        <w:rPr>
          <w:rFonts w:hint="eastAsia" w:ascii="宋体" w:hAnsi="宋体" w:eastAsia="宋体" w:cs="宋体"/>
          <w:sz w:val="21"/>
          <w:szCs w:val="21"/>
        </w:rPr>
        <w:t>，甲方至少应于发运前【</w:t>
      </w:r>
      <w:r>
        <w:rPr>
          <w:rFonts w:hint="eastAsia" w:ascii="宋体" w:hAnsi="宋体" w:eastAsia="宋体" w:cs="宋体"/>
          <w:sz w:val="21"/>
          <w:szCs w:val="21"/>
          <w:lang w:val="en-US" w:eastAsia="zh-CN"/>
        </w:rPr>
        <w:t>48</w:t>
      </w:r>
      <w:r>
        <w:rPr>
          <w:rFonts w:hint="eastAsia" w:ascii="宋体" w:hAnsi="宋体" w:eastAsia="宋体" w:cs="宋体"/>
          <w:sz w:val="21"/>
          <w:szCs w:val="21"/>
        </w:rPr>
        <w:t>】小时下单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紧急情况除外</w:t>
      </w:r>
      <w:r>
        <w:rPr>
          <w:rFonts w:hint="eastAsia" w:ascii="宋体" w:hAnsi="宋体" w:eastAsia="宋体" w:cs="宋体"/>
          <w:sz w:val="21"/>
          <w:szCs w:val="21"/>
          <w:lang w:eastAsia="zh-CN"/>
        </w:rPr>
        <w:t>）</w:t>
      </w:r>
      <w:r>
        <w:rPr>
          <w:rFonts w:hint="eastAsia" w:ascii="宋体" w:hAnsi="宋体" w:eastAsia="宋体" w:cs="宋体"/>
          <w:sz w:val="21"/>
          <w:szCs w:val="21"/>
        </w:rPr>
        <w:t>，乙方收到订单后应及时确认并回复甲方，【</w:t>
      </w:r>
      <w:r>
        <w:rPr>
          <w:rFonts w:hint="eastAsia" w:ascii="宋体" w:hAnsi="宋体" w:eastAsia="宋体" w:cs="宋体"/>
          <w:sz w:val="21"/>
          <w:szCs w:val="21"/>
          <w:lang w:val="en-US" w:eastAsia="zh-CN"/>
        </w:rPr>
        <w:t>4</w:t>
      </w:r>
      <w:r>
        <w:rPr>
          <w:rFonts w:hint="eastAsia" w:ascii="宋体" w:hAnsi="宋体" w:eastAsia="宋体" w:cs="宋体"/>
          <w:sz w:val="21"/>
          <w:szCs w:val="21"/>
        </w:rPr>
        <w:t>】小时内未回复的，视为对订单无异议。</w:t>
      </w:r>
      <w:r>
        <w:rPr>
          <w:rFonts w:hint="eastAsia" w:ascii="宋体" w:hAnsi="宋体" w:eastAsia="宋体" w:cs="宋体"/>
          <w:sz w:val="21"/>
          <w:szCs w:val="21"/>
          <w:lang w:val="en-US" w:eastAsia="zh-CN"/>
        </w:rPr>
        <w:t>紧急订单由双方另行沟通确认，乙方应尽量配合以满足甲方需求。</w:t>
      </w:r>
    </w:p>
    <w:p>
      <w:pPr>
        <w:spacing w:beforeLines="-2147483648" w:afterLines="-2147483648"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乙方应确保运力（即运输</w:t>
      </w:r>
      <w:r>
        <w:rPr>
          <w:rFonts w:hint="eastAsia" w:ascii="宋体" w:hAnsi="宋体" w:eastAsia="宋体" w:cs="宋体"/>
          <w:sz w:val="21"/>
          <w:szCs w:val="21"/>
          <w:lang w:val="en-US" w:eastAsia="zh-CN"/>
        </w:rPr>
        <w:t>车辆、司机及其他工作人员</w:t>
      </w:r>
      <w:r>
        <w:rPr>
          <w:rFonts w:hint="eastAsia" w:ascii="宋体" w:hAnsi="宋体" w:eastAsia="宋体" w:cs="宋体"/>
          <w:sz w:val="21"/>
          <w:szCs w:val="21"/>
        </w:rPr>
        <w:t>）充足以满足甲方随时发出的运输订单，如出现运力紧张、短缺的，应优先承接甲方订单。甲方基于本</w:t>
      </w:r>
      <w:r>
        <w:rPr>
          <w:rFonts w:hint="eastAsia" w:ascii="宋体" w:hAnsi="宋体" w:eastAsia="宋体" w:cs="宋体"/>
          <w:sz w:val="21"/>
          <w:szCs w:val="21"/>
          <w:lang w:val="en-US" w:eastAsia="zh-CN"/>
        </w:rPr>
        <w:t>合同及</w:t>
      </w:r>
      <w:r>
        <w:rPr>
          <w:rFonts w:hint="eastAsia" w:ascii="宋体" w:hAnsi="宋体" w:eastAsia="宋体" w:cs="宋体"/>
          <w:sz w:val="21"/>
          <w:szCs w:val="21"/>
          <w:highlight w:val="none"/>
          <w:lang w:val="en-US" w:eastAsia="zh-CN"/>
        </w:rPr>
        <w:t>附件1</w:t>
      </w:r>
      <w:r>
        <w:rPr>
          <w:rFonts w:hint="eastAsia" w:ascii="宋体" w:hAnsi="宋体" w:eastAsia="宋体" w:cs="宋体"/>
          <w:sz w:val="21"/>
          <w:szCs w:val="21"/>
        </w:rPr>
        <w:t>约定的线路及价格</w:t>
      </w:r>
      <w:r>
        <w:rPr>
          <w:rFonts w:hint="eastAsia" w:ascii="宋体" w:hAnsi="宋体" w:eastAsia="宋体" w:cs="宋体"/>
          <w:sz w:val="21"/>
          <w:szCs w:val="21"/>
          <w:lang w:val="en-US" w:eastAsia="zh-CN"/>
        </w:rPr>
        <w:t>标准</w:t>
      </w:r>
      <w:r>
        <w:rPr>
          <w:rFonts w:hint="eastAsia" w:ascii="宋体" w:hAnsi="宋体" w:eastAsia="宋体" w:cs="宋体"/>
          <w:sz w:val="21"/>
          <w:szCs w:val="21"/>
        </w:rPr>
        <w:t>发出的订单，乙方不得</w:t>
      </w:r>
      <w:r>
        <w:rPr>
          <w:rFonts w:hint="eastAsia" w:ascii="宋体" w:hAnsi="宋体" w:eastAsia="宋体" w:cs="宋体"/>
          <w:sz w:val="21"/>
          <w:szCs w:val="21"/>
          <w:lang w:val="en-US" w:eastAsia="zh-CN"/>
        </w:rPr>
        <w:t>拒绝接单。</w:t>
      </w:r>
    </w:p>
    <w:p>
      <w:pPr>
        <w:numPr>
          <w:ilvl w:val="-1"/>
          <w:numId w:val="0"/>
        </w:numPr>
        <w:autoSpaceDE w:val="0"/>
        <w:autoSpaceDN w:val="0"/>
        <w:spacing w:line="440" w:lineRule="exact"/>
        <w:jc w:val="left"/>
        <w:rPr>
          <w:rFonts w:hint="eastAsia" w:ascii="宋体" w:hAnsi="宋体" w:eastAsia="宋体" w:cs="宋体"/>
          <w:b/>
          <w:sz w:val="21"/>
          <w:szCs w:val="21"/>
        </w:rPr>
      </w:pPr>
      <w:r>
        <w:rPr>
          <w:rFonts w:hint="eastAsia" w:ascii="宋体" w:hAnsi="宋体" w:eastAsia="宋体" w:cs="宋体"/>
          <w:b/>
          <w:sz w:val="21"/>
          <w:szCs w:val="21"/>
          <w:lang w:eastAsia="zh-CN"/>
        </w:rPr>
        <w:t>第四条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费用结算</w:t>
      </w:r>
    </w:p>
    <w:p>
      <w:pPr>
        <w:keepNext w:val="0"/>
        <w:keepLines w:val="0"/>
        <w:pageBreakBefore w:val="0"/>
        <w:widowControl/>
        <w:kinsoku/>
        <w:wordWrap/>
        <w:overflowPunct/>
        <w:topLinePunct w:val="0"/>
        <w:autoSpaceDE/>
        <w:autoSpaceDN/>
        <w:bidi w:val="0"/>
        <w:adjustRightInd/>
        <w:snapToGrid/>
        <w:spacing w:before="0" w:after="60" w:line="44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本合同项下费用结算方式为月结</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即</w:t>
      </w:r>
      <w:r>
        <w:rPr>
          <w:rFonts w:hint="eastAsia" w:ascii="宋体" w:hAnsi="宋体" w:eastAsia="宋体" w:cs="宋体"/>
          <w:sz w:val="21"/>
          <w:szCs w:val="21"/>
        </w:rPr>
        <w:t>：乙方应在每月第五个工作日</w:t>
      </w:r>
      <w:r>
        <w:rPr>
          <w:rFonts w:hint="eastAsia" w:ascii="宋体" w:hAnsi="宋体" w:eastAsia="宋体" w:cs="宋体"/>
          <w:sz w:val="21"/>
          <w:szCs w:val="21"/>
          <w:lang w:val="en-US" w:eastAsia="zh-CN"/>
        </w:rPr>
        <w:t>要求甲方对上月服务进行对账结算，甲方将通过运荔枝平台系统向乙方发送对账单，乙方应于</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个工作日</w:t>
      </w:r>
      <w:r>
        <w:rPr>
          <w:rFonts w:hint="eastAsia" w:ascii="宋体" w:hAnsi="宋体" w:eastAsia="宋体" w:cs="宋体"/>
          <w:sz w:val="21"/>
          <w:szCs w:val="21"/>
        </w:rPr>
        <w:t>内</w:t>
      </w:r>
      <w:r>
        <w:rPr>
          <w:rFonts w:hint="eastAsia" w:ascii="宋体" w:hAnsi="宋体" w:eastAsia="宋体" w:cs="宋体"/>
          <w:sz w:val="21"/>
          <w:szCs w:val="21"/>
          <w:lang w:val="en-US" w:eastAsia="zh-CN"/>
        </w:rPr>
        <w:t>进行确认，如有异议应于前述异议期内向甲方提出，经甲方核实确认，如确有已完整履行的上月运输订单因甲方原因尚未纳入对账单的，甲方应调整账单。经双方确认的对账单</w:t>
      </w:r>
      <w:r>
        <w:rPr>
          <w:rFonts w:hint="eastAsia" w:ascii="宋体" w:hAnsi="宋体" w:eastAsia="宋体" w:cs="宋体"/>
          <w:sz w:val="21"/>
          <w:szCs w:val="21"/>
        </w:rPr>
        <w:t>，甲方应在</w:t>
      </w:r>
      <w:r>
        <w:rPr>
          <w:rFonts w:hint="eastAsia" w:ascii="宋体" w:hAnsi="宋体" w:eastAsia="宋体" w:cs="宋体"/>
          <w:sz w:val="21"/>
          <w:szCs w:val="21"/>
          <w:lang w:eastAsia="zh-CN"/>
        </w:rPr>
        <w:t>确认</w:t>
      </w:r>
      <w:r>
        <w:rPr>
          <w:rFonts w:hint="eastAsia" w:ascii="宋体" w:hAnsi="宋体" w:eastAsia="宋体" w:cs="宋体"/>
          <w:sz w:val="21"/>
          <w:szCs w:val="21"/>
        </w:rPr>
        <w:t>后的</w:t>
      </w:r>
      <w:r>
        <w:rPr>
          <w:rFonts w:hint="eastAsia" w:ascii="宋体" w:hAnsi="宋体" w:eastAsia="宋体" w:cs="宋体"/>
          <w:sz w:val="21"/>
          <w:szCs w:val="21"/>
          <w:u w:val="none"/>
          <w:lang w:val="en-US" w:eastAsia="zh-CN"/>
        </w:rPr>
        <w:t>【 】日</w:t>
      </w:r>
      <w:r>
        <w:rPr>
          <w:rFonts w:hint="eastAsia" w:ascii="宋体" w:hAnsi="宋体" w:eastAsia="宋体" w:cs="宋体"/>
          <w:sz w:val="21"/>
          <w:szCs w:val="21"/>
          <w:lang w:val="en-US" w:eastAsia="zh-CN"/>
        </w:rPr>
        <w:t>内</w:t>
      </w:r>
      <w:r>
        <w:rPr>
          <w:rFonts w:hint="eastAsia" w:ascii="宋体" w:hAnsi="宋体" w:eastAsia="宋体" w:cs="宋体"/>
          <w:sz w:val="21"/>
          <w:szCs w:val="21"/>
          <w:highlight w:val="none"/>
          <w:lang w:val="en-US" w:eastAsia="zh-CN"/>
        </w:rPr>
        <w:t>通过【运荔枝平台】</w:t>
      </w:r>
      <w:r>
        <w:rPr>
          <w:rFonts w:hint="eastAsia" w:ascii="宋体" w:hAnsi="宋体" w:eastAsia="宋体" w:cs="宋体"/>
          <w:sz w:val="21"/>
          <w:szCs w:val="21"/>
        </w:rPr>
        <w:t>将款项汇至乙方账户或</w:t>
      </w:r>
      <w:r>
        <w:rPr>
          <w:rFonts w:hint="eastAsia" w:ascii="宋体" w:hAnsi="宋体" w:eastAsia="宋体" w:cs="宋体"/>
          <w:sz w:val="21"/>
          <w:szCs w:val="21"/>
          <w:lang w:val="en-US" w:eastAsia="zh-CN"/>
        </w:rPr>
        <w:t>以</w:t>
      </w:r>
      <w:r>
        <w:rPr>
          <w:rFonts w:hint="eastAsia" w:ascii="宋体" w:hAnsi="宋体" w:eastAsia="宋体" w:cs="宋体"/>
          <w:sz w:val="21"/>
          <w:szCs w:val="21"/>
        </w:rPr>
        <w:t>双方同意的其他方式进行支付。</w:t>
      </w:r>
    </w:p>
    <w:p>
      <w:pPr>
        <w:keepNext w:val="0"/>
        <w:keepLines w:val="0"/>
        <w:pageBreakBefore w:val="0"/>
        <w:widowControl/>
        <w:kinsoku/>
        <w:wordWrap/>
        <w:overflowPunct/>
        <w:topLinePunct w:val="0"/>
        <w:autoSpaceDE/>
        <w:autoSpaceDN/>
        <w:bidi w:val="0"/>
        <w:adjustRightInd/>
        <w:snapToGrid/>
        <w:spacing w:before="0" w:after="60" w:line="440" w:lineRule="exact"/>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highlight w:val="none"/>
        </w:rPr>
        <w:t>双方</w:t>
      </w:r>
      <w:r>
        <w:rPr>
          <w:rFonts w:hint="eastAsia" w:ascii="宋体" w:hAnsi="宋体" w:eastAsia="宋体" w:cs="宋体"/>
          <w:sz w:val="21"/>
          <w:szCs w:val="21"/>
          <w:highlight w:val="none"/>
          <w:lang w:val="en-US" w:eastAsia="zh-CN"/>
        </w:rPr>
        <w:t>确认，已完整履行的运输订单即为已按照本合同约定及订单要求完成运输服务并及时、完整、准确交付的订单，对账结算时仅就已完整履行且乙方已按平台要求上传相应单据的订单进行对账结算</w:t>
      </w:r>
      <w:r>
        <w:rPr>
          <w:rFonts w:hint="eastAsia" w:ascii="宋体" w:hAnsi="宋体" w:eastAsia="宋体" w:cs="宋体"/>
          <w:sz w:val="21"/>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3、乙方收款信息：</w:t>
      </w:r>
    </w:p>
    <w:p>
      <w:pPr>
        <w:keepNext w:val="0"/>
        <w:keepLines w:val="0"/>
        <w:pageBreakBefore w:val="0"/>
        <w:widowControl/>
        <w:kinsoku/>
        <w:wordWrap/>
        <w:overflowPunct/>
        <w:topLinePunct w:val="0"/>
        <w:autoSpaceDE/>
        <w:autoSpaceDN/>
        <w:bidi w:val="0"/>
        <w:adjustRightInd/>
        <w:snapToGrid/>
        <w:spacing w:after="60" w:line="440" w:lineRule="exact"/>
        <w:ind w:firstLine="420" w:firstLineChars="200"/>
        <w:jc w:val="left"/>
        <w:textAlignment w:val="auto"/>
        <w:rPr>
          <w:rFonts w:hint="eastAsia" w:ascii="宋体" w:hAnsi="宋体" w:eastAsia="宋体" w:cs="宋体"/>
          <w:szCs w:val="21"/>
          <w:highlight w:val="none"/>
          <w:lang w:val="en-US"/>
        </w:rPr>
      </w:pPr>
      <w:r>
        <w:rPr>
          <w:rFonts w:hint="eastAsia" w:ascii="宋体" w:hAnsi="宋体" w:eastAsia="宋体" w:cs="宋体"/>
          <w:color w:val="000000"/>
          <w:kern w:val="2"/>
          <w:sz w:val="21"/>
          <w:szCs w:val="21"/>
          <w:highlight w:val="none"/>
          <w:lang w:val="en-US" w:eastAsia="zh-CN" w:bidi="ar"/>
        </w:rPr>
        <w:t>开户名：</w:t>
      </w:r>
      <w:r>
        <w:rPr>
          <w:rFonts w:hint="eastAsia" w:ascii="宋体" w:hAnsi="宋体" w:eastAsia="宋体" w:cs="宋体"/>
          <w:sz w:val="21"/>
          <w:szCs w:val="21"/>
          <w:highlight w:val="none"/>
          <w:u w:val="none"/>
          <w:lang w:val="en-US" w:eastAsia="zh-CN"/>
        </w:rPr>
        <w:t>【                        】</w:t>
      </w:r>
    </w:p>
    <w:p>
      <w:pPr>
        <w:keepNext w:val="0"/>
        <w:keepLines w:val="0"/>
        <w:pageBreakBefore w:val="0"/>
        <w:widowControl/>
        <w:kinsoku/>
        <w:wordWrap/>
        <w:overflowPunct/>
        <w:topLinePunct w:val="0"/>
        <w:autoSpaceDE/>
        <w:autoSpaceDN/>
        <w:bidi w:val="0"/>
        <w:adjustRightInd/>
        <w:snapToGrid/>
        <w:spacing w:after="60" w:line="440" w:lineRule="exact"/>
        <w:ind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color w:val="000000"/>
          <w:kern w:val="2"/>
          <w:sz w:val="21"/>
          <w:szCs w:val="21"/>
          <w:highlight w:val="none"/>
          <w:lang w:val="en-US" w:eastAsia="zh-CN" w:bidi="ar"/>
        </w:rPr>
        <w:t>开户行：</w:t>
      </w:r>
      <w:r>
        <w:rPr>
          <w:rFonts w:hint="eastAsia" w:ascii="宋体" w:hAnsi="宋体" w:eastAsia="宋体" w:cs="宋体"/>
          <w:sz w:val="21"/>
          <w:szCs w:val="21"/>
          <w:highlight w:val="none"/>
          <w:u w:val="none"/>
          <w:lang w:val="en-US" w:eastAsia="zh-CN"/>
        </w:rPr>
        <w:t>【                        】</w:t>
      </w:r>
    </w:p>
    <w:p>
      <w:pPr>
        <w:keepNext w:val="0"/>
        <w:keepLines w:val="0"/>
        <w:pageBreakBefore w:val="0"/>
        <w:widowControl/>
        <w:kinsoku/>
        <w:wordWrap/>
        <w:overflowPunct/>
        <w:topLinePunct w:val="0"/>
        <w:autoSpaceDE/>
        <w:autoSpaceDN/>
        <w:bidi w:val="0"/>
        <w:adjustRightInd/>
        <w:snapToGrid/>
        <w:spacing w:after="60" w:line="440" w:lineRule="exact"/>
        <w:ind w:firstLine="420" w:firstLine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color w:val="auto"/>
          <w:kern w:val="2"/>
          <w:sz w:val="21"/>
          <w:szCs w:val="21"/>
          <w:highlight w:val="none"/>
          <w:lang w:val="en-US" w:eastAsia="zh-CN" w:bidi="ar"/>
        </w:rPr>
        <w:t>账  号：</w:t>
      </w:r>
      <w:r>
        <w:rPr>
          <w:rFonts w:hint="eastAsia" w:ascii="宋体" w:hAnsi="宋体" w:eastAsia="宋体" w:cs="宋体"/>
          <w:sz w:val="21"/>
          <w:szCs w:val="21"/>
          <w:highlight w:val="none"/>
          <w:u w:val="none"/>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highlight w:val="none"/>
          <w:u w:val="none"/>
          <w:lang w:val="en-US" w:eastAsia="zh-CN"/>
        </w:rPr>
        <w:t xml:space="preserve">    4、</w:t>
      </w:r>
      <w:r>
        <w:rPr>
          <w:rFonts w:hint="eastAsia" w:ascii="宋体" w:hAnsi="宋体" w:eastAsia="宋体" w:cs="宋体"/>
          <w:sz w:val="21"/>
          <w:szCs w:val="21"/>
          <w:lang w:val="en-US" w:eastAsia="zh-CN"/>
        </w:rPr>
        <w:t>即便有前述约定，双方确认，合作过程中，甲方可（而非义务）为乙方搭建数字供应链融资的合作渠道，乙方可自行选择是否与该等融资银行开展数字供应链融资业务；若乙方选择开展数字供应链融资业务的，乙方在此不可撤销地承诺：（1）为开展该等融资业务，乙方同意甲方有权适时向该等银行提供其全部信息；（2）乙方在该等银行及其分支机构开立的账户将专门用于接收甲方于本合同项下的应付款项；且（3）乙方审慎履行与该等银行之间的协议，该等协议的履约风险概由乙方承担。</w:t>
      </w:r>
    </w:p>
    <w:p>
      <w:pPr>
        <w:keepNext w:val="0"/>
        <w:keepLines w:val="0"/>
        <w:pageBreakBefore w:val="0"/>
        <w:numPr>
          <w:ilvl w:val="-1"/>
          <w:numId w:val="0"/>
        </w:numPr>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b/>
          <w:sz w:val="21"/>
          <w:szCs w:val="21"/>
        </w:rPr>
      </w:pPr>
      <w:bookmarkStart w:id="0" w:name="_Hlk67824229"/>
      <w:r>
        <w:rPr>
          <w:rFonts w:hint="eastAsia" w:ascii="宋体" w:hAnsi="宋体" w:eastAsia="宋体" w:cs="宋体"/>
          <w:b/>
          <w:sz w:val="21"/>
          <w:szCs w:val="21"/>
          <w:lang w:eastAsia="zh-CN"/>
        </w:rPr>
        <w:t>第五条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服务质量与约定</w:t>
      </w:r>
      <w:bookmarkEnd w:id="0"/>
    </w:p>
    <w:p>
      <w:pPr>
        <w:keepNext w:val="0"/>
        <w:keepLines w:val="0"/>
        <w:pageBreakBefore w:val="0"/>
        <w:widowControl w:val="0"/>
        <w:numPr>
          <w:ilvl w:val="-1"/>
          <w:numId w:val="0"/>
        </w:numPr>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甲方应保证交付乙方配送的货物与提供的随货单据的数据信息一致，随货文件清晰齐全、真实合法，托运货物质量应符合相关质量标准，货物及包装完好无损，箱体干净，外箱标识清楚，如因无正式文件或文件不齐所造成的处罚等一切责任由甲方承担。</w:t>
      </w:r>
    </w:p>
    <w:p>
      <w:pPr>
        <w:keepNext w:val="0"/>
        <w:keepLines w:val="0"/>
        <w:pageBreakBefore w:val="0"/>
        <w:widowControl w:val="0"/>
        <w:numPr>
          <w:ilvl w:val="-1"/>
          <w:numId w:val="0"/>
        </w:numPr>
        <w:kinsoku/>
        <w:wordWrap/>
        <w:overflowPunct/>
        <w:topLinePunct w:val="0"/>
        <w:autoSpaceDE w:val="0"/>
        <w:autoSpaceDN w:val="0"/>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乙方必须向甲方提供行车证、运营证、保险单、驾驶证等证件的原件及复印件，且行车证车牌号、车型、发动机号等信息与车辆一致，保险卡必须在有效期内，驾驶证、身份证与参与拍照人一致，乙方合同签订人必须为行车证车主本人，若非车主本人，需提供车主本人的授权委托书，装车时乙方人员必须在场，乙方有责对货品及数量进行清点，乙方签订本合同视为对装车货物品种及数量没有异议。</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rPr>
        <w:t>乙方应确保其提供的运输服务以及其提供并使用的车辆符合甲方要求和食品安全法等相关法律规范要求，严禁将有毒有害、化学品、危险品、冷冻海鲜以及其他非甲方托运等货物与甲方货物混装。若乙方在货物中夹带易燃、易爆危险物品，以及国家规定的禁运、有害、有毒、腐蚀等物品，一经查实，混装产品全部召回无条件销毁，且确保承运过程中车辆干净卫生、无污物、无积水、无残留、无异味，不野蛮装卸，不抛放货物。否则，由此造成的损失及法律风险均由乙方承担。</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rPr>
        <w:t>乙方用于线路承运的车辆需自费安装GPS监控，并向甲方提供车辆监控平台查询权限供甲方监控车辆在途配送情况。在运输过程中车厢内温度要保持</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rPr>
        <w:t>如因乙方运输过程温度不达标造成的货物损失由乙方承担，提货时货物状态（包括包装、温度等）不符合收货标准，则乙方有权拒绝装货；若甲方坚持托运，则乙方只对货物数量、重量负责。若甲方放置温控设备在车厢的，温控仪编号：</w:t>
      </w:r>
      <w:r>
        <w:rPr>
          <w:rFonts w:hint="eastAsia"/>
          <w:sz w:val="24"/>
          <w:szCs w:val="24"/>
          <w:u w:val="none"/>
          <w:lang w:val="en-US" w:eastAsia="zh-CN"/>
        </w:rPr>
        <w:t>【      】</w:t>
      </w:r>
      <w:r>
        <w:rPr>
          <w:rFonts w:hint="eastAsia" w:ascii="宋体" w:hAnsi="宋体" w:eastAsia="宋体" w:cs="宋体"/>
          <w:sz w:val="21"/>
          <w:szCs w:val="21"/>
          <w:u w:val="none"/>
        </w:rPr>
        <w:t>，温控仪价值</w:t>
      </w:r>
      <w:r>
        <w:rPr>
          <w:rFonts w:hint="eastAsia"/>
          <w:sz w:val="24"/>
          <w:szCs w:val="24"/>
          <w:u w:val="none"/>
          <w:lang w:val="en-US" w:eastAsia="zh-CN"/>
        </w:rPr>
        <w:t>【  】</w:t>
      </w:r>
      <w:r>
        <w:rPr>
          <w:rFonts w:hint="eastAsia" w:ascii="宋体" w:hAnsi="宋体" w:eastAsia="宋体" w:cs="宋体"/>
          <w:sz w:val="21"/>
          <w:szCs w:val="21"/>
          <w:u w:val="none"/>
        </w:rPr>
        <w:t>元；</w:t>
      </w:r>
      <w:r>
        <w:rPr>
          <w:rFonts w:hint="eastAsia" w:ascii="宋体" w:hAnsi="宋体" w:eastAsia="宋体" w:cs="宋体"/>
          <w:sz w:val="21"/>
          <w:szCs w:val="21"/>
        </w:rPr>
        <w:t>若乙方遗失或损坏的，甲方有权要求乙方赔偿由此造成的任何损失。</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5</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rPr>
        <w:t>未经甲方同意，乙方不得私自中转、倒车、合车、配载货物；否则，甲方有权要求乙方赔偿由此造成的任何损失。</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rPr>
        <w:t>货物收货环节出现异常情况，例如货损、收方拒收、延时收货等，乙方</w:t>
      </w:r>
      <w:r>
        <w:rPr>
          <w:rFonts w:hint="eastAsia" w:ascii="宋体" w:hAnsi="宋体" w:eastAsia="宋体" w:cs="宋体"/>
          <w:sz w:val="21"/>
          <w:szCs w:val="21"/>
          <w:lang w:eastAsia="zh-CN"/>
        </w:rPr>
        <w:t>应</w:t>
      </w:r>
      <w:r>
        <w:rPr>
          <w:rFonts w:hint="eastAsia" w:ascii="宋体" w:hAnsi="宋体" w:eastAsia="宋体" w:cs="宋体"/>
          <w:sz w:val="21"/>
          <w:szCs w:val="21"/>
        </w:rPr>
        <w:t>及时通知甲方，甲方应在接到</w:t>
      </w:r>
      <w:r>
        <w:rPr>
          <w:rFonts w:hint="eastAsia" w:ascii="宋体" w:hAnsi="宋体" w:eastAsia="宋体" w:cs="宋体"/>
          <w:sz w:val="21"/>
          <w:szCs w:val="21"/>
          <w:lang w:eastAsia="zh-CN"/>
        </w:rPr>
        <w:t>乙方通知后</w:t>
      </w:r>
      <w:r>
        <w:rPr>
          <w:rFonts w:hint="eastAsia" w:ascii="宋体" w:hAnsi="宋体" w:eastAsia="宋体" w:cs="宋体"/>
          <w:sz w:val="21"/>
          <w:szCs w:val="21"/>
        </w:rPr>
        <w:t>协助解决。</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7</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rPr>
        <w:t>货物运抵目的地后，由收货人验收。乙方应根据甲方要求将由收货人签字并盖章的货运单及温控仪、配送卡及其他相关手续在收货人验收后1个工作日内交给甲方相关人员</w:t>
      </w:r>
      <w:r>
        <w:rPr>
          <w:rFonts w:hint="eastAsia" w:ascii="宋体" w:hAnsi="宋体" w:eastAsia="宋体" w:cs="宋体"/>
          <w:sz w:val="21"/>
          <w:szCs w:val="21"/>
          <w:lang w:eastAsia="zh-CN"/>
        </w:rPr>
        <w:t>，未按时交付相关凭证的，甲方有权不予办理结算并延期支付相关费用</w:t>
      </w:r>
      <w:r>
        <w:rPr>
          <w:rFonts w:hint="eastAsia" w:ascii="宋体" w:hAnsi="宋体" w:eastAsia="宋体" w:cs="宋体"/>
          <w:sz w:val="21"/>
          <w:szCs w:val="21"/>
        </w:rPr>
        <w:t>。</w:t>
      </w:r>
      <w:r>
        <w:rPr>
          <w:rFonts w:hint="eastAsia" w:ascii="宋体" w:hAnsi="宋体" w:eastAsia="宋体" w:cs="宋体"/>
          <w:sz w:val="21"/>
          <w:szCs w:val="21"/>
          <w:lang w:eastAsia="zh-CN"/>
        </w:rPr>
        <w:t>如乙方遗失、损坏相关凭证导致甲方不能与收货人办理结算的，所造成的损失由乙方承担。</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w:t>
      </w:r>
      <w:r>
        <w:rPr>
          <w:rFonts w:hint="default" w:ascii="宋体" w:hAnsi="宋体" w:eastAsia="宋体" w:cs="宋体"/>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乙方应在甲方指定时间内接货并在约定的时间期限内安全的将甲方交付运输的货物交由收货人签收，并在甲方规定时间内使用“运荔枝司机端APP”上传完整规范的签收单，若不及时上传签收单造成运费延迟支付由乙方自行承担。</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9</w:t>
      </w:r>
      <w:r>
        <w:rPr>
          <w:rFonts w:hint="default" w:ascii="宋体" w:hAnsi="宋体" w:eastAsia="宋体" w:cs="宋体"/>
          <w:kern w:val="2"/>
          <w:sz w:val="21"/>
          <w:szCs w:val="21"/>
          <w:lang w:val="en-US" w:eastAsia="zh-CN" w:bidi="ar-SA"/>
        </w:rPr>
        <w:t>、</w:t>
      </w:r>
      <w:r>
        <w:rPr>
          <w:rFonts w:hint="eastAsia" w:ascii="宋体" w:hAnsi="宋体" w:eastAsia="宋体" w:cs="宋体"/>
          <w:sz w:val="21"/>
          <w:szCs w:val="21"/>
        </w:rPr>
        <w:t>为确保货物安全，避免发生意外事故造成重大损失，乙方每次运输应提供保额与运输额相当的货物保险，并承担由于未投货物保险造成的全部经济损失及全部责任。</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乙方保质保量及时将甲方货物运送至甲方指定地点，期间发生的晚点、翻车、事故、偷盗、火灾、淋雨、解冻、结冻、变质等原因造成的损失均</w:t>
      </w:r>
      <w:r>
        <w:rPr>
          <w:rFonts w:hint="eastAsia" w:ascii="宋体" w:hAnsi="宋体" w:eastAsia="宋体" w:cs="宋体"/>
          <w:sz w:val="21"/>
          <w:szCs w:val="21"/>
          <w:lang w:eastAsia="zh-CN"/>
        </w:rPr>
        <w:t>由</w:t>
      </w:r>
      <w:r>
        <w:rPr>
          <w:rFonts w:hint="eastAsia" w:ascii="宋体" w:hAnsi="宋体" w:eastAsia="宋体" w:cs="宋体"/>
          <w:sz w:val="21"/>
          <w:szCs w:val="21"/>
        </w:rPr>
        <w:t>乙方全额承担，乙方同意</w:t>
      </w:r>
      <w:r>
        <w:rPr>
          <w:rFonts w:hint="eastAsia" w:ascii="宋体" w:hAnsi="宋体" w:eastAsia="宋体" w:cs="宋体"/>
          <w:sz w:val="21"/>
          <w:szCs w:val="21"/>
          <w:lang w:eastAsia="zh-CN"/>
        </w:rPr>
        <w:t>甲方</w:t>
      </w:r>
      <w:r>
        <w:rPr>
          <w:rFonts w:hint="eastAsia" w:ascii="宋体" w:hAnsi="宋体" w:eastAsia="宋体" w:cs="宋体"/>
          <w:sz w:val="21"/>
          <w:szCs w:val="21"/>
        </w:rPr>
        <w:t>从运费中扣除，不足部分，乙方必须在一周内支付完毕。</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乙方承运的产品出现质量问题时，必须拉回甲方指定地点，禁止乙方私自处理或者销售，否则甲方有权冻结乙方未结算运费，造成损失的，损失金额由乙方全部承担，且甲方有权冻结或扣除乙方未结运费。</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甲乙双方非雇佣关系，乙方及其雇佣或者聘请的驾驶员、跟车员与甲方均不存在雇佣关系，乙方雇佣或聘请的驾驶员、跟车员的所有费用、</w:t>
      </w:r>
      <w:r>
        <w:rPr>
          <w:rFonts w:hint="eastAsia" w:ascii="宋体" w:hAnsi="宋体" w:eastAsia="宋体" w:cs="宋体"/>
          <w:sz w:val="21"/>
          <w:szCs w:val="21"/>
          <w:lang w:eastAsia="zh-CN"/>
        </w:rPr>
        <w:t>安全</w:t>
      </w:r>
      <w:r>
        <w:rPr>
          <w:rFonts w:hint="eastAsia" w:ascii="宋体" w:hAnsi="宋体" w:eastAsia="宋体" w:cs="宋体"/>
          <w:sz w:val="21"/>
          <w:szCs w:val="21"/>
        </w:rPr>
        <w:t>风险</w:t>
      </w:r>
      <w:r>
        <w:rPr>
          <w:rFonts w:hint="eastAsia" w:ascii="宋体" w:hAnsi="宋体" w:eastAsia="宋体" w:cs="宋体"/>
          <w:sz w:val="21"/>
          <w:szCs w:val="21"/>
          <w:lang w:eastAsia="zh-CN"/>
        </w:rPr>
        <w:t>责任</w:t>
      </w:r>
      <w:r>
        <w:rPr>
          <w:rFonts w:hint="eastAsia" w:ascii="宋体" w:hAnsi="宋体" w:eastAsia="宋体" w:cs="宋体"/>
          <w:sz w:val="21"/>
          <w:szCs w:val="21"/>
        </w:rPr>
        <w:t>及造成的损失均由乙方自行承担。同时，乙方需对前述人员的行为负责，如因前述人员造成甲方或收货人损失的，应由乙方</w:t>
      </w:r>
      <w:r>
        <w:rPr>
          <w:rFonts w:hint="eastAsia" w:ascii="宋体" w:hAnsi="宋体" w:eastAsia="宋体" w:cs="宋体"/>
          <w:sz w:val="21"/>
          <w:szCs w:val="21"/>
          <w:lang w:val="en-US" w:eastAsia="zh-CN"/>
        </w:rPr>
        <w:t>承担。</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货物运输无耗损率，特殊货物有耗损率的按照甲方既定的要求执行，超出部分须由乙方按照受损货物原价值自行承担。</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所有意外事故或紧急事件发生后，乙方应在30分钟内通知甲方，按照甲方临时要求及时处理，并将处理结果每2小时通报甲方一次，直至处理结束。</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甲方同意将货物交由乙方运输，延迟送到的，乙方应支付违约金并承担由此造成的任何损失；违约金为</w:t>
      </w:r>
      <w:r>
        <w:rPr>
          <w:rFonts w:hint="eastAsia"/>
          <w:sz w:val="24"/>
          <w:szCs w:val="24"/>
          <w:highlight w:val="none"/>
          <w:u w:val="none"/>
          <w:lang w:val="en-US" w:eastAsia="zh-CN"/>
        </w:rPr>
        <w:t>【</w:t>
      </w:r>
      <w:r>
        <w:rPr>
          <w:rFonts w:hint="eastAsia" w:ascii="宋体" w:hAnsi="宋体" w:eastAsia="宋体" w:cs="宋体"/>
          <w:sz w:val="21"/>
          <w:szCs w:val="21"/>
          <w:highlight w:val="none"/>
          <w:u w:val="none"/>
          <w:lang w:val="en-US" w:eastAsia="zh-CN"/>
        </w:rPr>
        <w:t>5000</w:t>
      </w:r>
      <w:r>
        <w:rPr>
          <w:rFonts w:hint="eastAsia"/>
          <w:sz w:val="24"/>
          <w:szCs w:val="24"/>
          <w:highlight w:val="none"/>
          <w:u w:val="none"/>
          <w:lang w:val="en-US" w:eastAsia="zh-CN"/>
        </w:rPr>
        <w:t>】</w:t>
      </w:r>
      <w:r>
        <w:rPr>
          <w:rFonts w:hint="eastAsia" w:ascii="宋体" w:hAnsi="宋体" w:eastAsia="宋体" w:cs="宋体"/>
          <w:sz w:val="21"/>
          <w:szCs w:val="21"/>
          <w:highlight w:val="none"/>
          <w:u w:val="none"/>
        </w:rPr>
        <w:t xml:space="preserve"> 元/天；迟到不足24小时的，违约金按</w:t>
      </w:r>
      <w:r>
        <w:rPr>
          <w:rFonts w:hint="eastAsia"/>
          <w:sz w:val="24"/>
          <w:szCs w:val="24"/>
          <w:highlight w:val="none"/>
          <w:u w:val="none"/>
          <w:lang w:val="en-US" w:eastAsia="zh-CN"/>
        </w:rPr>
        <w:t>【500】</w:t>
      </w:r>
      <w:r>
        <w:rPr>
          <w:rFonts w:hint="eastAsia" w:ascii="宋体" w:hAnsi="宋体" w:eastAsia="宋体" w:cs="宋体"/>
          <w:sz w:val="21"/>
          <w:szCs w:val="21"/>
          <w:highlight w:val="none"/>
          <w:u w:val="none"/>
        </w:rPr>
        <w:t xml:space="preserve"> 元/</w:t>
      </w:r>
      <w:r>
        <w:rPr>
          <w:rFonts w:hint="eastAsia" w:ascii="宋体" w:hAnsi="宋体" w:eastAsia="宋体" w:cs="宋体"/>
          <w:sz w:val="21"/>
          <w:szCs w:val="21"/>
          <w:highlight w:val="none"/>
        </w:rPr>
        <w:t>小时确定；迟到不足1小时的，违约金按迟到1小时确认。</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乙方应遵守甲方及其平台的各项管理规定，并按甲方及其平台要求及时上传本合同项下涉及信息，包括但不限于传运单、资金流水单、车辆及驾驶员基本信息、驾驶员位置信息，并确保前述信息真实、准确、完整和有效。乙方在此明确同意甲方根据交通运输、税务和保险等涉及机关及其相关法律法规政策文件要求实时采集、上传或报送信息，包括但不限于乙方及其车辆、驾驶员（若适用）的基本信息、运单信息、乙方在运单起运和确认送达以及期间的地理位置信息和时间、资金流水相关信息。</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 xml:space="preserve"> 一方未能全面或及时履行其在本协议下的任何约定即构成违约。违约方应赔偿守约方因此遭受的损害、损失和合理费用，包括但不限于合理的律师费、仲裁费、公证费等主张权利的成本。</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18、</w:t>
      </w:r>
      <w:r>
        <w:rPr>
          <w:rFonts w:hint="eastAsia" w:ascii="宋体" w:hAnsi="宋体" w:eastAsia="宋体" w:cs="宋体"/>
          <w:sz w:val="21"/>
          <w:szCs w:val="21"/>
        </w:rPr>
        <w:t>乙方承诺在承运期间油料使用甲方提供</w:t>
      </w:r>
      <w:r>
        <w:rPr>
          <w:rFonts w:hint="eastAsia" w:ascii="宋体" w:hAnsi="宋体" w:eastAsia="宋体" w:cs="宋体"/>
          <w:sz w:val="21"/>
          <w:szCs w:val="21"/>
          <w:lang w:eastAsia="zh-CN"/>
        </w:rPr>
        <w:t>的</w:t>
      </w:r>
      <w:r>
        <w:rPr>
          <w:rFonts w:hint="eastAsia" w:ascii="宋体" w:hAnsi="宋体" w:eastAsia="宋体" w:cs="宋体"/>
          <w:sz w:val="21"/>
          <w:szCs w:val="21"/>
        </w:rPr>
        <w:t>油卡，油卡的使用金额在支付的运费中扣除。</w:t>
      </w:r>
      <w:r>
        <w:rPr>
          <w:rFonts w:hint="eastAsia" w:ascii="宋体" w:hAnsi="宋体" w:eastAsia="宋体" w:cs="宋体"/>
          <w:kern w:val="2"/>
          <w:sz w:val="21"/>
          <w:szCs w:val="21"/>
          <w:lang w:val="zh-CN" w:eastAsia="zh-CN" w:bidi="ar-SA"/>
        </w:rPr>
        <w:t>乙方应在油卡使用期限内使用，若因乙方自身原因导致油卡超过使用期限无法使用的，造成的损失由乙方自行承担。</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highlight w:val="none"/>
        </w:rPr>
        <w:t>乙方须提前储备业务高峰车辆资源，用于甲方业务高峰期间的货物运输保障。甲方根据高峰期的实际货量向乙方发出用车需求；乙方接到实际需求后的5个小时内应将</w:t>
      </w:r>
      <w:r>
        <w:rPr>
          <w:rFonts w:hint="eastAsia" w:ascii="宋体" w:hAnsi="宋体" w:eastAsia="宋体" w:cs="宋体"/>
          <w:sz w:val="21"/>
          <w:szCs w:val="21"/>
        </w:rPr>
        <w:t>车辆停靠至甲方指定场地执行高峰运输任务。乙方未保障甲方业务高峰期用车需求，乙方应承担甲方的调车成本并向甲方支付违约金，调车成本与违约金按当趟运费1.5倍的标准执行。如影响货物时效、品质及货物安全的，乙方按规定承担相关责任。且甲方有权对乙方合同履行期内紧急、临时、高峰加车需求的运力保障与响应时效进行评估，并将评估结果应用于甲乙双方合作线路的增加与减少或合同的续签与终止。</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甲方交给乙方运输的产品只能发给甲方指定的客户并运输到甲方指定的地点。如乙方</w:t>
      </w:r>
      <w:r>
        <w:rPr>
          <w:rFonts w:hint="eastAsia" w:ascii="宋体" w:hAnsi="宋体" w:eastAsia="宋体" w:cs="宋体"/>
          <w:sz w:val="21"/>
          <w:szCs w:val="21"/>
          <w:lang w:eastAsia="zh-CN"/>
        </w:rPr>
        <w:t>在</w:t>
      </w:r>
      <w:r>
        <w:rPr>
          <w:rFonts w:hint="eastAsia" w:ascii="宋体" w:hAnsi="宋体" w:eastAsia="宋体" w:cs="宋体"/>
          <w:sz w:val="21"/>
          <w:szCs w:val="21"/>
        </w:rPr>
        <w:t>未授权情况下违反规定，将产品配送到非甲方指定的客户及地点；或在甲方不知情的情况下，车辆返回时帮助客户或他人将甲方售出的产品运输到其他地方等行为，均视同窜货。甲方有权按照</w:t>
      </w:r>
      <w:r>
        <w:rPr>
          <w:rFonts w:hint="eastAsia" w:ascii="宋体" w:hAnsi="宋体" w:eastAsia="宋体" w:cs="宋体"/>
          <w:sz w:val="21"/>
          <w:szCs w:val="21"/>
          <w:lang w:eastAsia="zh-CN"/>
        </w:rPr>
        <w:t>甲方</w:t>
      </w:r>
      <w:r>
        <w:rPr>
          <w:rFonts w:hint="eastAsia" w:ascii="宋体" w:hAnsi="宋体" w:eastAsia="宋体" w:cs="宋体"/>
          <w:sz w:val="21"/>
          <w:szCs w:val="21"/>
        </w:rPr>
        <w:t>客户的《窜货管理规定》</w:t>
      </w:r>
      <w:r>
        <w:rPr>
          <w:rFonts w:hint="eastAsia" w:ascii="宋体" w:hAnsi="宋体" w:eastAsia="宋体" w:cs="宋体"/>
          <w:sz w:val="21"/>
          <w:szCs w:val="21"/>
          <w:lang w:eastAsia="zh-CN"/>
        </w:rPr>
        <w:t>等</w:t>
      </w:r>
      <w:r>
        <w:rPr>
          <w:rFonts w:hint="eastAsia" w:ascii="宋体" w:hAnsi="宋体" w:eastAsia="宋体" w:cs="宋体"/>
          <w:sz w:val="21"/>
          <w:szCs w:val="21"/>
        </w:rPr>
        <w:t>对</w:t>
      </w:r>
      <w:r>
        <w:rPr>
          <w:rFonts w:hint="eastAsia" w:ascii="宋体" w:hAnsi="宋体" w:eastAsia="宋体" w:cs="宋体"/>
          <w:sz w:val="21"/>
          <w:szCs w:val="21"/>
          <w:lang w:eastAsia="zh-CN"/>
        </w:rPr>
        <w:t>乙方</w:t>
      </w:r>
      <w:r>
        <w:rPr>
          <w:rFonts w:hint="eastAsia" w:ascii="宋体" w:hAnsi="宋体" w:eastAsia="宋体" w:cs="宋体"/>
          <w:sz w:val="21"/>
          <w:szCs w:val="21"/>
        </w:rPr>
        <w:t>进行处罚，一经查实，支付5万元-8万元违约金；第二次查实，支付8万元-12万元违约金。累计违约两次或两次以上的物流承运商，甲方有权终止双方的合作关系。</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w:t>
      </w:r>
      <w:r>
        <w:rPr>
          <w:rFonts w:hint="eastAsia" w:ascii="宋体" w:hAnsi="宋体" w:eastAsia="宋体" w:cs="宋体"/>
          <w:sz w:val="21"/>
          <w:szCs w:val="21"/>
        </w:rPr>
        <w:t>未经甲方同意乙方不得擅自更换承运车型，否则</w:t>
      </w:r>
      <w:r>
        <w:rPr>
          <w:rFonts w:hint="eastAsia" w:ascii="宋体" w:hAnsi="宋体" w:eastAsia="宋体" w:cs="宋体"/>
          <w:sz w:val="21"/>
          <w:szCs w:val="21"/>
          <w:lang w:eastAsia="zh-CN"/>
        </w:rPr>
        <w:t>甲方有权</w:t>
      </w:r>
      <w:r>
        <w:rPr>
          <w:rFonts w:hint="eastAsia" w:ascii="宋体" w:hAnsi="宋体" w:eastAsia="宋体" w:cs="宋体"/>
          <w:sz w:val="21"/>
          <w:szCs w:val="21"/>
        </w:rPr>
        <w:t>不予支付运费。</w:t>
      </w:r>
      <w:r>
        <w:rPr>
          <w:rFonts w:hint="eastAsia" w:ascii="宋体" w:hAnsi="宋体" w:eastAsia="宋体" w:cs="宋体"/>
          <w:kern w:val="2"/>
          <w:sz w:val="21"/>
          <w:szCs w:val="21"/>
          <w:lang w:val="en-US" w:eastAsia="zh-CN" w:bidi="ar-SA"/>
        </w:rPr>
        <w:t>乙方未按甲方要求的时间进行装载、送货、提供运输车辆、送达货物或者因乙方运输不当造成货物发生破损（包括外包装破损）、丢失、损毁、变质等情形的，甲方不予支付当次运费，乙方应向甲方支付违约金【5】万元并按照货物价值（货物销售价）赔偿甲方损失；且甲方有权解除本合同，履约保证金不予退还。</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甲方有权要求乙方遵守甲方公司相关的规章制度、行为规范及工作考核。</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甲乙双方共同约定的配送运输价格属于专车运输。因此，在进行甲方的配送任务时，不得顺带运输其他的货物，否则视为违约（甲方授权除外），同时甲方有权收取乙方违约金。具体为:每次违约金的金额为该线路单次配送费用的50%。如该违约行为同时给甲方造成损失的，除收取违约金外，损失由乙方全额承担。如乙方运输的货物为非甲方</w:t>
      </w:r>
      <w:r>
        <w:rPr>
          <w:rFonts w:hint="eastAsia" w:ascii="宋体" w:hAnsi="宋体" w:eastAsia="宋体" w:cs="宋体"/>
          <w:sz w:val="21"/>
          <w:szCs w:val="21"/>
          <w:lang w:val="en-US" w:eastAsia="zh-CN"/>
        </w:rPr>
        <w:t>要求的货品</w:t>
      </w:r>
      <w:r>
        <w:rPr>
          <w:rFonts w:hint="eastAsia" w:ascii="宋体" w:hAnsi="宋体" w:eastAsia="宋体" w:cs="宋体"/>
          <w:sz w:val="21"/>
          <w:szCs w:val="21"/>
        </w:rPr>
        <w:t>属于严重违约。甲方有权立即单方面终止合同，并没收全部配送保证金。</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乙方须向甲方缴</w:t>
      </w:r>
      <w:r>
        <w:rPr>
          <w:rFonts w:hint="eastAsia" w:ascii="宋体" w:hAnsi="宋体" w:eastAsia="宋体" w:cs="宋体"/>
          <w:sz w:val="21"/>
          <w:szCs w:val="21"/>
          <w:highlight w:val="none"/>
        </w:rPr>
        <w:t>纳</w:t>
      </w:r>
      <w:r>
        <w:rPr>
          <w:rFonts w:hint="eastAsia"/>
          <w:sz w:val="24"/>
          <w:szCs w:val="24"/>
          <w:highlight w:val="none"/>
          <w:u w:val="none"/>
          <w:lang w:val="en-US" w:eastAsia="zh-CN"/>
        </w:rPr>
        <w:t>【 】</w:t>
      </w:r>
      <w:r>
        <w:rPr>
          <w:rFonts w:hint="eastAsia" w:ascii="宋体" w:hAnsi="宋体" w:eastAsia="宋体" w:cs="宋体"/>
          <w:sz w:val="21"/>
          <w:szCs w:val="21"/>
          <w:highlight w:val="none"/>
          <w:u w:val="none"/>
        </w:rPr>
        <w:t>元（大写：</w:t>
      </w:r>
      <w:r>
        <w:rPr>
          <w:rFonts w:hint="eastAsia"/>
          <w:sz w:val="24"/>
          <w:szCs w:val="24"/>
          <w:highlight w:val="none"/>
          <w:u w:val="none"/>
          <w:lang w:val="en-US" w:eastAsia="zh-CN"/>
        </w:rPr>
        <w:t>【 】</w:t>
      </w:r>
      <w:r>
        <w:rPr>
          <w:rFonts w:hint="eastAsia" w:ascii="宋体" w:hAnsi="宋体" w:eastAsia="宋体" w:cs="宋体"/>
          <w:sz w:val="21"/>
          <w:szCs w:val="21"/>
          <w:highlight w:val="none"/>
          <w:u w:val="none"/>
        </w:rPr>
        <w:t>万元整</w:t>
      </w:r>
      <w:r>
        <w:rPr>
          <w:rFonts w:hint="eastAsia" w:ascii="宋体" w:hAnsi="宋体" w:eastAsia="宋体" w:cs="宋体"/>
          <w:sz w:val="21"/>
          <w:szCs w:val="21"/>
          <w:highlight w:val="none"/>
        </w:rPr>
        <w:t>）</w:t>
      </w:r>
      <w:r>
        <w:rPr>
          <w:rFonts w:hint="eastAsia" w:ascii="宋体" w:hAnsi="宋体" w:eastAsia="宋体" w:cs="宋体"/>
          <w:sz w:val="21"/>
          <w:szCs w:val="21"/>
        </w:rPr>
        <w:t>作为乙方合同期内的配送保证金（甲方出具收据），押金在合同签订之日起一周内缴纳。合同期满不再续签的，乙方完清各项手续后甲方予以退还（不计利息）。</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乙方的运输内容包括甲方的各类产品及促销物料。促销物料的运输费用已经涵盖在每一趟的运费中，不再另行计算费用。</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乙方属于自带车辆、自行雇佣工作人员为甲方提供配送服务。因此，乙方如因运输行为引起的配送车辆、工作人员及运输货物的安全问题及财产损失由乙方自行承担，如由此造成甲方经济损失的，由乙方负责全额赔偿。如未及时赔偿的，甲方有权从乙方的运输费用及配送保证金中直接扣除。</w:t>
      </w:r>
      <w:r>
        <w:rPr>
          <w:rFonts w:hint="eastAsia" w:ascii="宋体" w:hAnsi="宋体" w:eastAsia="宋体" w:cs="宋体"/>
          <w:sz w:val="21"/>
          <w:szCs w:val="21"/>
          <w:lang w:val="en-US" w:eastAsia="zh-CN"/>
        </w:rPr>
        <w:t>如</w:t>
      </w:r>
      <w:r>
        <w:rPr>
          <w:rFonts w:hint="eastAsia" w:ascii="宋体" w:hAnsi="宋体" w:eastAsia="宋体" w:cs="宋体"/>
          <w:sz w:val="21"/>
          <w:szCs w:val="21"/>
        </w:rPr>
        <w:t>造成第三人财产损失和</w:t>
      </w:r>
      <w:r>
        <w:rPr>
          <w:rFonts w:hint="eastAsia" w:ascii="宋体" w:hAnsi="宋体" w:eastAsia="宋体" w:cs="宋体"/>
          <w:sz w:val="21"/>
          <w:szCs w:val="21"/>
          <w:lang w:val="en-US" w:eastAsia="zh-CN"/>
        </w:rPr>
        <w:t>人员</w:t>
      </w:r>
      <w:r>
        <w:rPr>
          <w:rFonts w:hint="eastAsia" w:ascii="宋体" w:hAnsi="宋体" w:eastAsia="宋体" w:cs="宋体"/>
          <w:sz w:val="21"/>
          <w:szCs w:val="21"/>
        </w:rPr>
        <w:t>伤亡的，乙方应当予以</w:t>
      </w:r>
      <w:r>
        <w:rPr>
          <w:rFonts w:hint="eastAsia" w:ascii="宋体" w:hAnsi="宋体" w:eastAsia="宋体" w:cs="宋体"/>
          <w:sz w:val="21"/>
          <w:szCs w:val="21"/>
          <w:lang w:val="en-US" w:eastAsia="zh-CN"/>
        </w:rPr>
        <w:t>全额赔偿，</w:t>
      </w:r>
      <w:r>
        <w:rPr>
          <w:rFonts w:hint="eastAsia" w:ascii="宋体" w:hAnsi="宋体" w:eastAsia="宋体" w:cs="宋体"/>
          <w:sz w:val="21"/>
          <w:szCs w:val="21"/>
        </w:rPr>
        <w:t>并</w:t>
      </w:r>
      <w:r>
        <w:rPr>
          <w:rFonts w:hint="eastAsia" w:ascii="宋体" w:hAnsi="宋体" w:eastAsia="宋体" w:cs="宋体"/>
          <w:sz w:val="21"/>
          <w:szCs w:val="21"/>
          <w:lang w:val="en-US" w:eastAsia="zh-CN"/>
        </w:rPr>
        <w:t>妥善解决，不得牵连甲方，</w:t>
      </w:r>
      <w:r>
        <w:rPr>
          <w:rFonts w:hint="eastAsia" w:ascii="宋体" w:hAnsi="宋体" w:eastAsia="宋体" w:cs="宋体"/>
          <w:sz w:val="21"/>
          <w:szCs w:val="21"/>
        </w:rPr>
        <w:t>不使甲方承担任何责任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如造成</w:t>
      </w:r>
      <w:r>
        <w:rPr>
          <w:rFonts w:hint="eastAsia" w:ascii="宋体" w:hAnsi="宋体" w:eastAsia="宋体" w:cs="宋体"/>
          <w:sz w:val="21"/>
          <w:szCs w:val="21"/>
        </w:rPr>
        <w:t>甲方</w:t>
      </w:r>
      <w:r>
        <w:rPr>
          <w:rFonts w:hint="eastAsia" w:ascii="宋体" w:hAnsi="宋体" w:eastAsia="宋体" w:cs="宋体"/>
          <w:sz w:val="21"/>
          <w:szCs w:val="21"/>
          <w:lang w:val="en-US" w:eastAsia="zh-CN"/>
        </w:rPr>
        <w:t>跟车人员伤亡、货物损毁灭失的，</w:t>
      </w:r>
      <w:r>
        <w:rPr>
          <w:rFonts w:hint="eastAsia" w:ascii="宋体" w:hAnsi="宋体" w:eastAsia="宋体" w:cs="宋体"/>
          <w:sz w:val="21"/>
          <w:szCs w:val="21"/>
        </w:rPr>
        <w:t>乙方应</w:t>
      </w:r>
      <w:r>
        <w:rPr>
          <w:rFonts w:hint="eastAsia" w:ascii="宋体" w:hAnsi="宋体" w:eastAsia="宋体" w:cs="宋体"/>
          <w:sz w:val="21"/>
          <w:szCs w:val="21"/>
          <w:lang w:eastAsia="zh-CN"/>
        </w:rPr>
        <w:t>赔偿甲方因此遭受的所有损失</w:t>
      </w:r>
      <w:r>
        <w:rPr>
          <w:rFonts w:hint="eastAsia" w:ascii="宋体" w:hAnsi="宋体" w:eastAsia="宋体" w:cs="宋体"/>
          <w:sz w:val="21"/>
          <w:szCs w:val="21"/>
        </w:rPr>
        <w:t>。</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bCs w:val="0"/>
          <w:sz w:val="21"/>
          <w:szCs w:val="21"/>
          <w:lang w:val="en-US" w:eastAsia="zh-CN"/>
        </w:rPr>
      </w:pPr>
      <w:r>
        <w:rPr>
          <w:rFonts w:hint="eastAsia" w:ascii="宋体" w:hAnsi="宋体" w:eastAsia="宋体" w:cs="宋体"/>
          <w:bCs w:val="0"/>
          <w:sz w:val="21"/>
          <w:szCs w:val="21"/>
          <w:lang w:val="en-US" w:eastAsia="zh-CN"/>
        </w:rPr>
        <w:t>27、对于在向甲方提供服务的过程中产生的或与提供服务相关的，如因乙方未按约定或相关法律法规向其下游承运人、雇员、劳务人员或其他第三人等相关人员支付费用或其他补偿费、赔偿金等应付费用，导致乙方或乙方下游承运人、雇员、劳务人员投诉劳动监察、仲裁、要求甲方（作为实际受益人）支付、采取堵门、罢工、闹事等影响或可能影响甲方正常经营的行为，对甲方或甲方客户造成商业影响，则甲方有权在不经乙方同意的情况下向该部分人员发放乙方应付款项，乙方应赔偿因此造成的损失，且该部分费用从甲方应向乙方结算的应付款项、服务费及保证金中扣除，如不足部分需乙方在接到甲方通知后3日内补足，如乙方拒不配合，需向甲方支付违约金5万元。</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乙方在任何情况下不得以任何理由留置或以其他方式扣留甲方的货物，否则，乙方应按照期扣留货物价值的2倍向甲方支付违约金。</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乙方在出库接货时应认真检查产品数量及包装完整性，在提货单据上签字确认。如运输到目的地后出现产品缺损时，乙方按照甲方的出厂价格进行赔偿。如乙方配送的物料出现缺损时，由乙方按照甲方的采购含税价进行赔偿。</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bCs w:val="0"/>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乙方需按照甲方规定及时将客户签收的送货单返回甲方，次月5号前统一将上月客户</w:t>
      </w:r>
      <w:r>
        <w:rPr>
          <w:rFonts w:hint="eastAsia" w:ascii="宋体" w:hAnsi="宋体" w:eastAsia="宋体" w:cs="宋体"/>
          <w:sz w:val="21"/>
          <w:szCs w:val="21"/>
          <w:lang w:eastAsia="zh-CN"/>
        </w:rPr>
        <w:t>签收的送货单</w:t>
      </w:r>
      <w:r>
        <w:rPr>
          <w:rFonts w:hint="eastAsia" w:ascii="宋体" w:hAnsi="宋体" w:eastAsia="宋体" w:cs="宋体"/>
          <w:sz w:val="21"/>
          <w:szCs w:val="21"/>
        </w:rPr>
        <w:t>返回，如有差额或票据遗失，</w:t>
      </w:r>
      <w:r>
        <w:rPr>
          <w:rFonts w:hint="eastAsia" w:ascii="宋体" w:hAnsi="宋体" w:eastAsia="宋体" w:cs="宋体"/>
          <w:bCs w:val="0"/>
          <w:sz w:val="21"/>
          <w:szCs w:val="21"/>
        </w:rPr>
        <w:t>乙方应负责采取补救措施</w:t>
      </w:r>
      <w:r>
        <w:rPr>
          <w:rFonts w:hint="eastAsia" w:ascii="宋体" w:hAnsi="宋体" w:eastAsia="宋体" w:cs="宋体"/>
          <w:bCs w:val="0"/>
          <w:sz w:val="21"/>
          <w:szCs w:val="21"/>
          <w:lang w:eastAsia="zh-CN"/>
        </w:rPr>
        <w:t>。</w:t>
      </w:r>
      <w:r>
        <w:rPr>
          <w:rFonts w:hint="eastAsia" w:ascii="宋体" w:hAnsi="宋体" w:eastAsia="宋体" w:cs="宋体"/>
          <w:bCs w:val="0"/>
          <w:sz w:val="21"/>
          <w:szCs w:val="21"/>
        </w:rPr>
        <w:t>对于由于乙方原因造成的任何运输相关业务</w:t>
      </w:r>
      <w:r>
        <w:rPr>
          <w:rFonts w:hint="eastAsia" w:ascii="宋体" w:hAnsi="宋体" w:eastAsia="宋体" w:cs="宋体"/>
          <w:bCs w:val="0"/>
          <w:sz w:val="21"/>
          <w:szCs w:val="21"/>
          <w:lang w:eastAsia="zh-CN"/>
        </w:rPr>
        <w:t>送货单及</w:t>
      </w:r>
      <w:r>
        <w:rPr>
          <w:rFonts w:hint="eastAsia" w:ascii="宋体" w:hAnsi="宋体" w:eastAsia="宋体" w:cs="宋体"/>
          <w:bCs w:val="0"/>
          <w:sz w:val="21"/>
          <w:szCs w:val="21"/>
        </w:rPr>
        <w:t>文件的丢失、交回延误，由此造成的甲方、甲方客户的任何损失</w:t>
      </w:r>
      <w:r>
        <w:rPr>
          <w:rFonts w:hint="eastAsia" w:ascii="宋体" w:hAnsi="宋体" w:eastAsia="宋体" w:cs="宋体"/>
          <w:bCs w:val="0"/>
          <w:sz w:val="21"/>
          <w:szCs w:val="21"/>
          <w:lang w:eastAsia="zh-CN"/>
        </w:rPr>
        <w:t>或</w:t>
      </w:r>
      <w:r>
        <w:rPr>
          <w:rFonts w:hint="eastAsia" w:ascii="宋体" w:hAnsi="宋体" w:eastAsia="宋体" w:cs="宋体"/>
          <w:bCs w:val="0"/>
          <w:sz w:val="21"/>
          <w:szCs w:val="21"/>
        </w:rPr>
        <w:t>甲方客户对甲方的处罚</w:t>
      </w:r>
      <w:r>
        <w:rPr>
          <w:rFonts w:hint="eastAsia" w:ascii="宋体" w:hAnsi="宋体" w:eastAsia="宋体" w:cs="宋体"/>
          <w:bCs w:val="0"/>
          <w:sz w:val="21"/>
          <w:szCs w:val="21"/>
          <w:lang w:eastAsia="zh-CN"/>
        </w:rPr>
        <w:t>等</w:t>
      </w:r>
      <w:r>
        <w:rPr>
          <w:rFonts w:hint="eastAsia" w:ascii="宋体" w:hAnsi="宋体" w:eastAsia="宋体" w:cs="宋体"/>
          <w:bCs w:val="0"/>
          <w:sz w:val="21"/>
          <w:szCs w:val="21"/>
        </w:rPr>
        <w:t>均由乙方予以承担赔偿责任。</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31、非经甲方同意，乙方不得拒绝甲方的托运指令。乙方拒绝承运的，甲方有权委托他人承运，如因此产生运费差额等损失的，由乙方进行赔偿，同时，</w:t>
      </w:r>
      <w:r>
        <w:rPr>
          <w:rFonts w:hint="eastAsia" w:ascii="宋体" w:hAnsi="宋体" w:eastAsia="宋体" w:cs="宋体"/>
          <w:sz w:val="21"/>
          <w:szCs w:val="21"/>
        </w:rPr>
        <w:t>甲方</w:t>
      </w:r>
      <w:r>
        <w:rPr>
          <w:rFonts w:hint="eastAsia" w:ascii="宋体" w:hAnsi="宋体" w:eastAsia="宋体" w:cs="宋体"/>
          <w:sz w:val="21"/>
          <w:szCs w:val="21"/>
          <w:lang w:val="en-US" w:eastAsia="zh-CN"/>
        </w:rPr>
        <w:t>有权</w:t>
      </w:r>
      <w:r>
        <w:rPr>
          <w:rFonts w:hint="eastAsia" w:ascii="宋体" w:hAnsi="宋体" w:eastAsia="宋体" w:cs="宋体"/>
          <w:sz w:val="21"/>
          <w:szCs w:val="21"/>
        </w:rPr>
        <w:t>立即解除合同。</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Cs w:val="21"/>
          <w:lang w:bidi="zh-CN"/>
        </w:rPr>
      </w:pPr>
      <w:r>
        <w:rPr>
          <w:rFonts w:hint="eastAsia" w:ascii="宋体" w:hAnsi="宋体" w:eastAsia="宋体" w:cs="宋体"/>
          <w:sz w:val="21"/>
          <w:szCs w:val="21"/>
          <w:lang w:val="en-US" w:eastAsia="zh-CN"/>
        </w:rPr>
        <w:t>32、甲乙双方在平台上的信息包括但不限于订单、运输单、回单或签收单、对账单等双方均予以认可，且</w:t>
      </w:r>
      <w:r>
        <w:rPr>
          <w:rFonts w:hint="eastAsia" w:ascii="宋体" w:hAnsi="宋体" w:eastAsia="宋体" w:cs="宋体"/>
          <w:sz w:val="21"/>
          <w:szCs w:val="21"/>
          <w:lang w:eastAsia="zh-CN"/>
        </w:rPr>
        <w:t>双方</w:t>
      </w:r>
      <w:r>
        <w:rPr>
          <w:rFonts w:hint="eastAsia" w:ascii="宋体" w:hAnsi="宋体" w:eastAsia="宋体" w:cs="宋体"/>
          <w:sz w:val="21"/>
          <w:szCs w:val="21"/>
          <w:lang w:val="en-US" w:eastAsia="zh-CN" w:bidi="zh-CN"/>
        </w:rPr>
        <w:t>以运荔枝数据作为结算的唯一依据，以系统内对账数据为基础进行运费结算，若系统外纸质对账单与系统内数据存在差异，将以系统数据为准。</w:t>
      </w:r>
      <w:r>
        <w:rPr>
          <w:rFonts w:hint="eastAsia" w:ascii="宋体" w:hAnsi="宋体" w:eastAsia="宋体" w:cs="宋体"/>
          <w:szCs w:val="21"/>
          <w:lang w:bidi="zh-CN"/>
        </w:rPr>
        <w:t>双方均认可在履行本合同过程中产生的载于运荔枝系统的各项数据的法律效力，必要时，前述数据可直接作为证明材料使用。</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szCs w:val="21"/>
          <w:lang w:val="en-US" w:bidi="zh-CN"/>
        </w:rPr>
      </w:pPr>
      <w:r>
        <w:rPr>
          <w:rFonts w:hint="eastAsia" w:ascii="宋体" w:hAnsi="宋体" w:eastAsia="宋体" w:cs="宋体"/>
          <w:szCs w:val="21"/>
          <w:lang w:val="en-US" w:bidi="zh-CN"/>
        </w:rPr>
        <w:t>33、为保障运力，确保将甲方货物及时、安全送达目的地</w:t>
      </w:r>
      <w:r>
        <w:rPr>
          <w:rFonts w:hint="eastAsia" w:ascii="宋体" w:hAnsi="宋体" w:eastAsia="宋体" w:cs="宋体"/>
          <w:szCs w:val="21"/>
          <w:highlight w:val="none"/>
          <w:lang w:val="en-US" w:bidi="zh-CN"/>
        </w:rPr>
        <w:t>，乙方雇佣/聘请符合甲方要求的司机、工作人员等</w:t>
      </w:r>
      <w:r>
        <w:rPr>
          <w:rFonts w:hint="eastAsia" w:ascii="宋体" w:hAnsi="宋体" w:eastAsia="宋体" w:cs="宋体"/>
          <w:sz w:val="21"/>
          <w:szCs w:val="21"/>
          <w:highlight w:val="none"/>
        </w:rPr>
        <w:t>为甲方提供服务</w:t>
      </w:r>
      <w:r>
        <w:rPr>
          <w:rFonts w:hint="eastAsia" w:ascii="宋体" w:hAnsi="宋体" w:eastAsia="宋体" w:cs="宋体"/>
          <w:sz w:val="21"/>
          <w:szCs w:val="21"/>
          <w:highlight w:val="none"/>
          <w:lang w:eastAsia="zh-CN"/>
        </w:rPr>
        <w:t>，具</w:t>
      </w:r>
      <w:r>
        <w:rPr>
          <w:rFonts w:hint="eastAsia" w:ascii="宋体" w:hAnsi="宋体" w:eastAsia="宋体" w:cs="宋体"/>
          <w:sz w:val="21"/>
          <w:szCs w:val="21"/>
          <w:lang w:eastAsia="zh-CN"/>
        </w:rPr>
        <w:t>体人员名单详见附件</w:t>
      </w:r>
      <w:r>
        <w:rPr>
          <w:rFonts w:hint="eastAsia" w:ascii="宋体" w:hAnsi="宋体" w:eastAsia="宋体" w:cs="宋体"/>
          <w:sz w:val="21"/>
          <w:szCs w:val="21"/>
          <w:lang w:val="en-US" w:eastAsia="zh-CN"/>
        </w:rPr>
        <w:t>5：《乙方</w:t>
      </w:r>
      <w:r>
        <w:rPr>
          <w:rFonts w:hint="eastAsia" w:ascii="宋体" w:hAnsi="宋体" w:eastAsia="宋体" w:cs="宋体"/>
          <w:szCs w:val="21"/>
          <w:lang w:val="en-US" w:bidi="zh-CN"/>
        </w:rPr>
        <w:t>雇佣/聘请司机、工作人员等名单</w:t>
      </w:r>
      <w:r>
        <w:rPr>
          <w:rFonts w:hint="eastAsia" w:ascii="宋体" w:hAnsi="宋体" w:eastAsia="宋体" w:cs="宋体"/>
          <w:sz w:val="21"/>
          <w:szCs w:val="21"/>
          <w:lang w:val="en-US" w:eastAsia="zh-CN"/>
        </w:rPr>
        <w:t>》</w:t>
      </w:r>
      <w:r>
        <w:rPr>
          <w:rFonts w:hint="eastAsia" w:ascii="宋体" w:hAnsi="宋体" w:eastAsia="宋体" w:cs="宋体"/>
          <w:szCs w:val="21"/>
          <w:lang w:val="en-US" w:bidi="zh-CN"/>
        </w:rPr>
        <w:t>。名单内人员发生变动时，乙方应提前3日通知甲方变动人员信息并向甲方补充提供本协议要求的</w:t>
      </w:r>
      <w:r>
        <w:rPr>
          <w:rFonts w:hint="eastAsia" w:ascii="宋体" w:hAnsi="宋体" w:eastAsia="宋体" w:cs="宋体"/>
          <w:sz w:val="21"/>
          <w:szCs w:val="21"/>
        </w:rPr>
        <w:t>证件原件及复印件</w:t>
      </w:r>
      <w:r>
        <w:rPr>
          <w:rFonts w:hint="eastAsia" w:ascii="宋体" w:hAnsi="宋体" w:eastAsia="宋体" w:cs="宋体"/>
          <w:sz w:val="21"/>
          <w:szCs w:val="21"/>
          <w:lang w:eastAsia="zh-CN"/>
        </w:rPr>
        <w:t>等相关</w:t>
      </w:r>
      <w:r>
        <w:rPr>
          <w:rFonts w:hint="eastAsia" w:ascii="宋体" w:hAnsi="宋体" w:eastAsia="宋体" w:cs="宋体"/>
          <w:szCs w:val="21"/>
          <w:lang w:val="en-US" w:bidi="zh-CN"/>
        </w:rPr>
        <w:t>资料，否则，甲方有权拒绝乙方承运、不予支付该次运费并有权要求乙方支付违约金【5000】元/次。</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eastAsia" w:ascii="宋体" w:hAnsi="宋体" w:eastAsia="宋体" w:cs="宋体"/>
          <w:kern w:val="2"/>
          <w:sz w:val="21"/>
          <w:szCs w:val="21"/>
          <w:lang w:val="en-US" w:eastAsia="zh-CN" w:bidi="zh-CN"/>
        </w:rPr>
      </w:pPr>
      <w:r>
        <w:rPr>
          <w:rFonts w:hint="eastAsia" w:ascii="宋体" w:hAnsi="宋体" w:eastAsia="宋体" w:cs="宋体"/>
          <w:szCs w:val="21"/>
          <w:lang w:val="en-US" w:eastAsia="zh-CN" w:bidi="zh-CN"/>
        </w:rPr>
        <w:t>34、</w:t>
      </w:r>
      <w:r>
        <w:rPr>
          <w:rFonts w:hint="eastAsia" w:ascii="宋体" w:hAnsi="宋体" w:eastAsia="宋体" w:cs="宋体"/>
          <w:kern w:val="2"/>
          <w:sz w:val="21"/>
          <w:szCs w:val="21"/>
          <w:lang w:val="en-US" w:eastAsia="zh-CN" w:bidi="zh-CN"/>
        </w:rPr>
        <w:t>乙方保证其向甲方提供的书面材料或于甲方供应商管理平台中录入的一切信息、资料均真实、完整且有效，否则，甲方有权解除本合同且乙方应承担由此给甲方造成的所有损失。</w:t>
      </w:r>
    </w:p>
    <w:p>
      <w:pPr>
        <w:pStyle w:val="21"/>
        <w:keepNext w:val="0"/>
        <w:keepLines w:val="0"/>
        <w:pageBreakBefore w:val="0"/>
        <w:widowControl w:val="0"/>
        <w:numPr>
          <w:ilvl w:val="0"/>
          <w:numId w:val="0"/>
        </w:numPr>
        <w:kinsoku/>
        <w:wordWrap/>
        <w:overflowPunct/>
        <w:topLinePunct w:val="0"/>
        <w:bidi w:val="0"/>
        <w:adjustRightInd/>
        <w:snapToGrid/>
        <w:spacing w:after="60" w:line="440" w:lineRule="exact"/>
        <w:ind w:firstLine="420" w:firstLineChars="200"/>
        <w:textAlignment w:val="auto"/>
        <w:rPr>
          <w:rFonts w:hint="default" w:ascii="宋体" w:hAnsi="宋体" w:eastAsia="宋体" w:cs="宋体"/>
          <w:sz w:val="21"/>
          <w:szCs w:val="21"/>
          <w:lang w:val="en-US" w:eastAsia="zh-CN" w:bidi="zh-CN"/>
        </w:rPr>
      </w:pPr>
      <w:r>
        <w:rPr>
          <w:rFonts w:hint="eastAsia" w:ascii="宋体" w:hAnsi="宋体" w:eastAsia="宋体" w:cs="宋体"/>
          <w:sz w:val="21"/>
          <w:szCs w:val="21"/>
          <w:lang w:val="en-US" w:eastAsia="zh-CN" w:bidi="zh-CN"/>
        </w:rPr>
        <w:t>35、乙方保证从为甲方提供运输服务开始到合作结束后的一年内，不从事任何与甲方利益相抵触的业务，特别是乙方将不会与甲方客户直接或间接发生业务关系。一经发现，乙方承诺将按照甲乙双方过去一年的业务总量（含运费在内）的服务费用总额的30%向甲方支付违约金作为补偿（如双方的合同执行/业务合作尚未满一年，则按照已经发生的每月业务平均值计算过去一年的业务总量及总服务费用）或者乙方直接向甲方支付100万元违约金作为补偿，两项违约金按较高者执行。</w:t>
      </w:r>
    </w:p>
    <w:p>
      <w:pPr>
        <w:numPr>
          <w:ilvl w:val="-1"/>
          <w:numId w:val="0"/>
        </w:numPr>
        <w:autoSpaceDE w:val="0"/>
        <w:autoSpaceDN w:val="0"/>
        <w:spacing w:line="440" w:lineRule="exact"/>
        <w:jc w:val="left"/>
        <w:rPr>
          <w:rFonts w:hint="eastAsia" w:ascii="宋体" w:hAnsi="宋体" w:eastAsia="宋体" w:cs="宋体"/>
          <w:b/>
          <w:sz w:val="21"/>
          <w:szCs w:val="21"/>
        </w:rPr>
      </w:pPr>
      <w:bookmarkStart w:id="1" w:name="_Hlk68278240"/>
      <w:r>
        <w:rPr>
          <w:rFonts w:hint="eastAsia" w:ascii="宋体" w:hAnsi="宋体" w:eastAsia="宋体" w:cs="宋体"/>
          <w:b/>
          <w:sz w:val="21"/>
          <w:szCs w:val="21"/>
          <w:lang w:eastAsia="zh-CN"/>
        </w:rPr>
        <w:t>第六条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运输安全</w:t>
      </w:r>
    </w:p>
    <w:p>
      <w:pPr>
        <w:spacing w:after="6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详见本合同</w:t>
      </w:r>
      <w:r>
        <w:rPr>
          <w:rFonts w:hint="eastAsia" w:ascii="宋体" w:hAnsi="宋体" w:eastAsia="宋体" w:cs="宋体"/>
          <w:sz w:val="21"/>
          <w:szCs w:val="21"/>
          <w:highlight w:val="none"/>
        </w:rPr>
        <w:t>附件2</w:t>
      </w:r>
      <w:r>
        <w:rPr>
          <w:rFonts w:hint="eastAsia" w:ascii="宋体" w:hAnsi="宋体" w:eastAsia="宋体" w:cs="宋体"/>
          <w:sz w:val="21"/>
          <w:szCs w:val="21"/>
        </w:rPr>
        <w:t>：《运输安全协议》。</w:t>
      </w:r>
    </w:p>
    <w:p>
      <w:pPr>
        <w:keepNext w:val="0"/>
        <w:keepLines w:val="0"/>
        <w:pageBreakBefore w:val="0"/>
        <w:widowControl/>
        <w:numPr>
          <w:ilvl w:val="-1"/>
          <w:numId w:val="0"/>
        </w:numPr>
        <w:kinsoku/>
        <w:overflowPunct/>
        <w:topLinePunct w:val="0"/>
        <w:autoSpaceDE w:val="0"/>
        <w:autoSpaceDN w:val="0"/>
        <w:bidi w:val="0"/>
        <w:adjustRightInd/>
        <w:snapToGrid/>
        <w:spacing w:before="0" w:after="0" w:line="440" w:lineRule="exact"/>
        <w:ind w:leftChars="0" w:firstLine="0" w:firstLineChars="0"/>
        <w:jc w:val="lef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第七条</w:t>
      </w:r>
      <w:r>
        <w:rPr>
          <w:rFonts w:hint="eastAsia" w:ascii="宋体" w:hAnsi="宋体" w:eastAsia="宋体" w:cs="宋体"/>
          <w:b/>
          <w:sz w:val="21"/>
          <w:szCs w:val="21"/>
          <w:lang w:val="en-US" w:eastAsia="zh-CN"/>
        </w:rPr>
        <w:t xml:space="preserve"> 保险</w:t>
      </w:r>
    </w:p>
    <w:p>
      <w:pPr>
        <w:keepNext w:val="0"/>
        <w:keepLines w:val="0"/>
        <w:pageBreakBefore w:val="0"/>
        <w:widowControl w:val="0"/>
        <w:numPr>
          <w:ilvl w:val="0"/>
          <w:numId w:val="0"/>
        </w:numPr>
        <w:tabs>
          <w:tab w:val="left" w:pos="360"/>
        </w:tabs>
        <w:kinsoku/>
        <w:overflowPunct/>
        <w:topLinePunct w:val="0"/>
        <w:bidi w:val="0"/>
        <w:adjustRightInd/>
        <w:snapToGrid/>
        <w:spacing w:before="60" w:after="60" w:line="44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保证委派承运的车辆已按照国家相关法律法规规章政策的规定足额购买了车辆损失保险、第三者责任保险、承运货物的货物保险、随车乘、驾人员保险，包括但不限于员工工伤保险及法律要求的其它社会保险，并承诺因违反前述规定而导致的任何损害不向甲方提出赔偿要求。并在合同有效期内进行续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不得脱保</w:t>
      </w:r>
      <w:r>
        <w:rPr>
          <w:rFonts w:hint="eastAsia" w:ascii="宋体" w:hAnsi="宋体" w:eastAsia="宋体" w:cs="宋体"/>
          <w:sz w:val="21"/>
          <w:szCs w:val="21"/>
        </w:rPr>
        <w:t>。</w:t>
      </w:r>
    </w:p>
    <w:p>
      <w:pPr>
        <w:spacing w:after="60"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在甲方提出要求的情况下，乙方应当及时向甲方提供保险凭证。如果甲方认为有必要提高上述保险的保险金额，则乙方有义务自行承担费用</w:t>
      </w:r>
      <w:r>
        <w:rPr>
          <w:rFonts w:hint="eastAsia" w:ascii="宋体" w:hAnsi="宋体" w:eastAsia="宋体" w:cs="宋体"/>
          <w:sz w:val="21"/>
          <w:szCs w:val="21"/>
          <w:lang w:eastAsia="zh-CN"/>
        </w:rPr>
        <w:t>并</w:t>
      </w:r>
      <w:r>
        <w:rPr>
          <w:rFonts w:hint="eastAsia" w:ascii="宋体" w:hAnsi="宋体" w:eastAsia="宋体" w:cs="宋体"/>
          <w:sz w:val="21"/>
          <w:szCs w:val="21"/>
        </w:rPr>
        <w:t>根据甲方的合理要求修改保险。</w:t>
      </w:r>
    </w:p>
    <w:bookmarkEnd w:id="1"/>
    <w:p>
      <w:pPr>
        <w:numPr>
          <w:ilvl w:val="-1"/>
          <w:numId w:val="0"/>
        </w:numPr>
        <w:autoSpaceDE w:val="0"/>
        <w:autoSpaceDN w:val="0"/>
        <w:spacing w:line="440" w:lineRule="exact"/>
        <w:jc w:val="left"/>
        <w:rPr>
          <w:rFonts w:hint="eastAsia" w:ascii="宋体" w:hAnsi="宋体" w:eastAsia="宋体" w:cs="宋体"/>
          <w:b/>
          <w:sz w:val="21"/>
          <w:szCs w:val="21"/>
        </w:rPr>
      </w:pPr>
      <w:r>
        <w:rPr>
          <w:rFonts w:hint="eastAsia" w:ascii="宋体" w:hAnsi="宋体" w:eastAsia="宋体" w:cs="宋体"/>
          <w:b/>
          <w:sz w:val="21"/>
          <w:szCs w:val="21"/>
          <w:lang w:eastAsia="zh-CN"/>
        </w:rPr>
        <w:t>第八条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保密条款</w:t>
      </w:r>
    </w:p>
    <w:p>
      <w:pPr>
        <w:spacing w:after="6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鉴于乙方因承担甲方运输业务，已经、将要或可能知悉、掌握甲方的货物、业务量、线路、班次、站点、时间、运作流程、价格等相关经营信息（含货物运单信息、甲方客户信息）及甲方未予公开的其他信息均视为甲方商业秘密，自乙方获知甲方商业秘密开始，至该商业秘密被合法公开时止，乙方均负有保密义务，不得予以公开或向任何第三方提供。双方合作终止不影响保密义务的承担。</w:t>
      </w:r>
    </w:p>
    <w:p>
      <w:pPr>
        <w:numPr>
          <w:ilvl w:val="-1"/>
          <w:numId w:val="0"/>
        </w:numPr>
        <w:autoSpaceDE w:val="0"/>
        <w:autoSpaceDN w:val="0"/>
        <w:spacing w:line="440" w:lineRule="exact"/>
        <w:jc w:val="left"/>
        <w:rPr>
          <w:rFonts w:hint="eastAsia" w:ascii="宋体" w:hAnsi="宋体" w:eastAsia="宋体" w:cs="宋体"/>
          <w:b/>
          <w:sz w:val="21"/>
          <w:szCs w:val="21"/>
        </w:rPr>
      </w:pPr>
      <w:bookmarkStart w:id="2" w:name="_Hlk67909785"/>
      <w:r>
        <w:rPr>
          <w:rFonts w:hint="eastAsia" w:ascii="宋体" w:hAnsi="宋体" w:eastAsia="宋体" w:cs="宋体"/>
          <w:b/>
          <w:sz w:val="21"/>
          <w:szCs w:val="21"/>
          <w:lang w:eastAsia="zh-CN"/>
        </w:rPr>
        <w:t>第九条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争议解决</w:t>
      </w:r>
    </w:p>
    <w:p>
      <w:pPr>
        <w:pStyle w:val="21"/>
        <w:spacing w:after="60" w:line="440" w:lineRule="exact"/>
        <w:ind w:left="0" w:leftChars="0" w:firstLine="420" w:firstLineChars="200"/>
        <w:rPr>
          <w:rFonts w:hint="eastAsia" w:ascii="宋体" w:hAnsi="宋体" w:eastAsia="宋体" w:cs="宋体"/>
          <w:sz w:val="21"/>
          <w:szCs w:val="21"/>
          <w:lang w:bidi="zh-CN"/>
        </w:rPr>
      </w:pPr>
      <w:r>
        <w:rPr>
          <w:rFonts w:hint="eastAsia" w:ascii="宋体" w:hAnsi="宋体" w:eastAsia="宋体" w:cs="宋体"/>
          <w:sz w:val="21"/>
          <w:szCs w:val="21"/>
          <w:lang w:bidi="zh-CN"/>
        </w:rPr>
        <w:t>凡因本合同引起的或与本合同有关的任何争议，双方应当友好协商解决，协商不能达成一致的，双方有权向甲方所在地有管辖权的人民法院提起诉讼。</w:t>
      </w:r>
    </w:p>
    <w:bookmarkEnd w:id="2"/>
    <w:p>
      <w:pPr>
        <w:numPr>
          <w:ilvl w:val="-1"/>
          <w:numId w:val="0"/>
        </w:numPr>
        <w:autoSpaceDE w:val="0"/>
        <w:autoSpaceDN w:val="0"/>
        <w:spacing w:line="440" w:lineRule="exact"/>
        <w:jc w:val="left"/>
        <w:rPr>
          <w:rFonts w:hint="eastAsia" w:ascii="宋体" w:hAnsi="宋体" w:eastAsia="宋体" w:cs="宋体"/>
          <w:b/>
          <w:sz w:val="21"/>
          <w:szCs w:val="21"/>
        </w:rPr>
      </w:pPr>
      <w:bookmarkStart w:id="3" w:name="_Hlk68277877"/>
      <w:r>
        <w:rPr>
          <w:rFonts w:hint="eastAsia" w:ascii="宋体" w:hAnsi="宋体" w:eastAsia="宋体" w:cs="宋体"/>
          <w:b/>
          <w:sz w:val="21"/>
          <w:szCs w:val="21"/>
          <w:lang w:eastAsia="zh-CN"/>
        </w:rPr>
        <w:t>第十条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反商业贿赂条款</w:t>
      </w:r>
    </w:p>
    <w:bookmarkEnd w:id="3"/>
    <w:p>
      <w:pPr>
        <w:pStyle w:val="21"/>
        <w:spacing w:after="60" w:line="440" w:lineRule="exact"/>
        <w:ind w:left="360" w:firstLine="0" w:firstLineChars="0"/>
        <w:rPr>
          <w:rFonts w:hint="eastAsia" w:ascii="宋体" w:hAnsi="宋体" w:eastAsia="宋体" w:cs="宋体"/>
          <w:bCs/>
          <w:sz w:val="21"/>
          <w:szCs w:val="21"/>
          <w:lang w:bidi="zh-CN"/>
        </w:rPr>
      </w:pPr>
      <w:bookmarkStart w:id="4" w:name="_Hlk68278312"/>
      <w:r>
        <w:rPr>
          <w:rFonts w:hint="eastAsia" w:ascii="宋体" w:hAnsi="宋体" w:eastAsia="宋体" w:cs="宋体"/>
          <w:bCs/>
          <w:sz w:val="21"/>
          <w:szCs w:val="21"/>
          <w:lang w:bidi="zh-CN"/>
        </w:rPr>
        <w:t>详见本合同</w:t>
      </w:r>
      <w:r>
        <w:rPr>
          <w:rFonts w:hint="eastAsia" w:ascii="宋体" w:hAnsi="宋体" w:eastAsia="宋体" w:cs="宋体"/>
          <w:bCs/>
          <w:sz w:val="21"/>
          <w:szCs w:val="21"/>
          <w:highlight w:val="none"/>
          <w:lang w:bidi="zh-CN"/>
        </w:rPr>
        <w:t>附件3</w:t>
      </w:r>
      <w:r>
        <w:rPr>
          <w:rFonts w:hint="eastAsia" w:ascii="宋体" w:hAnsi="宋体" w:eastAsia="宋体" w:cs="宋体"/>
          <w:bCs/>
          <w:sz w:val="21"/>
          <w:szCs w:val="21"/>
          <w:lang w:bidi="zh-CN"/>
        </w:rPr>
        <w:t>：《</w:t>
      </w:r>
      <w:r>
        <w:rPr>
          <w:rFonts w:hint="eastAsia" w:asciiTheme="minorEastAsia" w:hAnsiTheme="minorEastAsia" w:eastAsiaTheme="minorEastAsia" w:cstheme="minorEastAsia"/>
          <w:sz w:val="21"/>
          <w:szCs w:val="21"/>
          <w:lang w:val="en-US" w:eastAsia="zh-CN"/>
        </w:rPr>
        <w:t>廉洁承诺书</w:t>
      </w:r>
      <w:r>
        <w:rPr>
          <w:rFonts w:hint="eastAsia" w:ascii="宋体" w:hAnsi="宋体" w:eastAsia="宋体" w:cs="宋体"/>
          <w:bCs/>
          <w:sz w:val="21"/>
          <w:szCs w:val="21"/>
          <w:lang w:bidi="zh-CN"/>
        </w:rPr>
        <w:t>》。</w:t>
      </w:r>
    </w:p>
    <w:bookmarkEnd w:id="4"/>
    <w:p>
      <w:pPr>
        <w:numPr>
          <w:ilvl w:val="-1"/>
          <w:numId w:val="0"/>
        </w:numPr>
        <w:autoSpaceDE w:val="0"/>
        <w:autoSpaceDN w:val="0"/>
        <w:spacing w:line="440" w:lineRule="exact"/>
        <w:jc w:val="left"/>
        <w:rPr>
          <w:rFonts w:hint="eastAsia" w:ascii="宋体" w:hAnsi="宋体" w:eastAsia="宋体" w:cs="宋体"/>
          <w:b/>
          <w:sz w:val="21"/>
          <w:szCs w:val="21"/>
        </w:rPr>
      </w:pPr>
      <w:r>
        <w:rPr>
          <w:rFonts w:hint="eastAsia" w:ascii="宋体" w:hAnsi="宋体" w:eastAsia="宋体" w:cs="宋体"/>
          <w:b/>
          <w:sz w:val="21"/>
          <w:szCs w:val="21"/>
          <w:lang w:eastAsia="zh-CN"/>
        </w:rPr>
        <w:t>第十一条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其他</w:t>
      </w:r>
    </w:p>
    <w:p>
      <w:pPr>
        <w:pStyle w:val="21"/>
        <w:numPr>
          <w:ilvl w:val="0"/>
          <w:numId w:val="1"/>
        </w:numPr>
        <w:spacing w:after="60" w:line="440" w:lineRule="exact"/>
        <w:ind w:left="0" w:firstLine="360"/>
        <w:rPr>
          <w:rFonts w:hint="eastAsia" w:ascii="宋体" w:hAnsi="宋体" w:eastAsia="宋体" w:cs="宋体"/>
          <w:sz w:val="21"/>
          <w:szCs w:val="21"/>
        </w:rPr>
      </w:pPr>
      <w:r>
        <w:rPr>
          <w:rFonts w:hint="eastAsia" w:ascii="宋体" w:hAnsi="宋体" w:eastAsia="宋体" w:cs="宋体"/>
          <w:sz w:val="21"/>
          <w:szCs w:val="21"/>
        </w:rPr>
        <w:t>本合同未尽事宜，双方应签订书面补充协议。补充协议与本合同具有同等法律效力，补充协议未约定的，以本合同相关约定为准；补充协议与本合同约定不一致的，以补充协议相关约定为准。</w:t>
      </w:r>
    </w:p>
    <w:p>
      <w:pPr>
        <w:numPr>
          <w:ilvl w:val="-1"/>
          <w:numId w:val="0"/>
        </w:numPr>
        <w:spacing w:after="60" w:line="44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任何一方根据本合同约定向另一方发出的文件、通知等均应采用书面形式、以中文书写，并以特快专递或电子邮件发送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联系方式详见合同签署处</w:t>
      </w:r>
      <w:r>
        <w:rPr>
          <w:rFonts w:hint="eastAsia" w:ascii="宋体" w:hAnsi="宋体" w:eastAsia="宋体" w:cs="宋体"/>
          <w:sz w:val="21"/>
          <w:szCs w:val="21"/>
        </w:rPr>
        <w:t>。文件、通知等若以电子邮件方式发送的，以发送方终端收到发出成功的讯号之日视为送达；以快递方式寄送的，快递官方系统显示签收之日视为送达。任何一方均不得拒收对方发出的文件、通知，若发生拒收的，拒收之日视为送达。双方确认，本条关于送达的约定同等适用于法院、政府机关等文件、文书的送达</w:t>
      </w:r>
      <w:r>
        <w:rPr>
          <w:rFonts w:hint="eastAsia" w:ascii="宋体" w:hAnsi="宋体" w:eastAsia="宋体" w:cs="宋体"/>
          <w:sz w:val="21"/>
          <w:szCs w:val="21"/>
          <w:lang w:eastAsia="zh-CN"/>
        </w:rPr>
        <w:t>。</w:t>
      </w:r>
    </w:p>
    <w:p>
      <w:pPr>
        <w:pStyle w:val="21"/>
        <w:numPr>
          <w:ilvl w:val="-1"/>
          <w:numId w:val="0"/>
        </w:numPr>
        <w:spacing w:after="6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本合同附件为本合同的组成部分，与本合同具有同等法律效力。本合同附件与合同正文约定存在不一致的，以合同正文为准。甲乙双方经协商一致，可根据实际情况对本合同附件内容单独进行变更。</w:t>
      </w:r>
    </w:p>
    <w:p>
      <w:pPr>
        <w:pStyle w:val="21"/>
        <w:numPr>
          <w:ilvl w:val="-1"/>
          <w:numId w:val="0"/>
        </w:numPr>
        <w:spacing w:after="60" w:line="440" w:lineRule="exact"/>
        <w:ind w:left="0" w:leftChars="0" w:firstLine="36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本合同一式</w:t>
      </w:r>
      <w:r>
        <w:rPr>
          <w:rFonts w:hint="eastAsia" w:ascii="宋体" w:hAnsi="宋体" w:eastAsia="宋体" w:cs="宋体"/>
          <w:sz w:val="21"/>
          <w:szCs w:val="21"/>
          <w:u w:val="none"/>
        </w:rPr>
        <w:t xml:space="preserve"> </w:t>
      </w:r>
      <w:r>
        <w:rPr>
          <w:rFonts w:hint="eastAsia"/>
          <w:sz w:val="24"/>
          <w:szCs w:val="24"/>
          <w:u w:val="none"/>
          <w:lang w:val="en-US" w:eastAsia="zh-CN"/>
        </w:rPr>
        <w:t>【2】</w:t>
      </w:r>
      <w:r>
        <w:rPr>
          <w:rFonts w:hint="eastAsia" w:ascii="宋体" w:hAnsi="宋体" w:eastAsia="宋体" w:cs="宋体"/>
          <w:sz w:val="21"/>
          <w:szCs w:val="21"/>
          <w:u w:val="none"/>
        </w:rPr>
        <w:t>份，甲方执</w:t>
      </w:r>
      <w:r>
        <w:rPr>
          <w:rFonts w:hint="eastAsia"/>
          <w:sz w:val="24"/>
          <w:szCs w:val="24"/>
          <w:u w:val="none"/>
          <w:lang w:val="en-US" w:eastAsia="zh-CN"/>
        </w:rPr>
        <w:t>【1】</w:t>
      </w:r>
      <w:r>
        <w:rPr>
          <w:rFonts w:hint="eastAsia" w:ascii="宋体" w:hAnsi="宋体" w:eastAsia="宋体" w:cs="宋体"/>
          <w:sz w:val="21"/>
          <w:szCs w:val="21"/>
          <w:u w:val="none"/>
        </w:rPr>
        <w:t>份，乙方执</w:t>
      </w:r>
      <w:r>
        <w:rPr>
          <w:rFonts w:hint="eastAsia"/>
          <w:sz w:val="24"/>
          <w:szCs w:val="24"/>
          <w:u w:val="none"/>
          <w:lang w:val="en-US" w:eastAsia="zh-CN"/>
        </w:rPr>
        <w:t>【1】</w:t>
      </w:r>
      <w:r>
        <w:rPr>
          <w:rFonts w:hint="eastAsia" w:ascii="宋体" w:hAnsi="宋体" w:eastAsia="宋体" w:cs="宋体"/>
          <w:sz w:val="21"/>
          <w:szCs w:val="21"/>
          <w:u w:val="none"/>
        </w:rPr>
        <w:t>份</w:t>
      </w:r>
      <w:r>
        <w:rPr>
          <w:rFonts w:hint="eastAsia" w:ascii="宋体" w:hAnsi="宋体" w:eastAsia="宋体" w:cs="宋体"/>
          <w:sz w:val="21"/>
          <w:szCs w:val="21"/>
        </w:rPr>
        <w:t>，自双方法定代表人或授权代表签字并加盖公章</w:t>
      </w:r>
      <w:r>
        <w:rPr>
          <w:rFonts w:hint="eastAsia" w:ascii="宋体" w:hAnsi="宋体" w:eastAsia="宋体" w:cs="宋体"/>
          <w:sz w:val="21"/>
          <w:szCs w:val="21"/>
          <w:lang w:val="en-US" w:eastAsia="zh-CN"/>
        </w:rPr>
        <w:t>/捺印</w:t>
      </w:r>
      <w:r>
        <w:rPr>
          <w:rFonts w:hint="eastAsia" w:ascii="宋体" w:hAnsi="宋体" w:eastAsia="宋体" w:cs="宋体"/>
          <w:sz w:val="21"/>
          <w:szCs w:val="21"/>
        </w:rPr>
        <w:t>之日起生效，每份具有同等法律效力。</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附件1：《运配线路价格表》</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附件2：《运输安全协议》</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《廉洁承诺书》</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附件4：《服务承诺书》</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附件5：《乙方雇佣/聘请司机、工作人员等名单》</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Theme="minorEastAsia" w:hAnsiTheme="minorEastAsia" w:eastAsiaTheme="minorEastAsia" w:cstheme="minorEastAsia"/>
          <w:sz w:val="21"/>
          <w:szCs w:val="21"/>
          <w:lang w:val="en-US" w:eastAsia="zh-CN"/>
        </w:rPr>
        <w:t>附件6：《关联主体信息表》</w:t>
      </w:r>
    </w:p>
    <w:p>
      <w:pPr>
        <w:pStyle w:val="2"/>
        <w:rPr>
          <w:rFonts w:hint="eastAsia"/>
          <w:lang w:eastAsia="zh-CN"/>
        </w:rPr>
      </w:pPr>
    </w:p>
    <w:p>
      <w:pPr>
        <w:spacing w:after="60" w:line="440" w:lineRule="exact"/>
        <w:jc w:val="center"/>
        <w:rPr>
          <w:rFonts w:hint="eastAsia" w:ascii="宋体" w:hAnsi="宋体" w:eastAsia="宋体" w:cs="宋体"/>
          <w:sz w:val="21"/>
          <w:szCs w:val="21"/>
          <w:lang w:eastAsia="zh-CN"/>
        </w:rPr>
      </w:pPr>
    </w:p>
    <w:p>
      <w:pPr>
        <w:spacing w:after="60" w:line="4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（以下无正文）</w:t>
      </w:r>
    </w:p>
    <w:p>
      <w:pPr>
        <w:pStyle w:val="2"/>
        <w:rPr>
          <w:rFonts w:hint="eastAsia" w:ascii="宋体" w:hAnsi="宋体" w:eastAsia="宋体" w:cs="宋体"/>
          <w:sz w:val="21"/>
          <w:szCs w:val="21"/>
          <w:lang w:eastAsia="zh-CN"/>
        </w:rPr>
      </w:pPr>
    </w:p>
    <w:tbl>
      <w:tblPr>
        <w:tblStyle w:val="10"/>
        <w:tblpPr w:leftFromText="180" w:rightFromText="180" w:vertAnchor="text" w:horzAnchor="page" w:tblpXSpec="center" w:tblpY="127"/>
        <w:tblOverlap w:val="never"/>
        <w:tblW w:w="9684" w:type="dxa"/>
        <w:jc w:val="center"/>
        <w:tblLayout w:type="fixed"/>
        <w:tblCellMar>
          <w:top w:w="0" w:type="dxa"/>
          <w:left w:w="108" w:type="dxa"/>
          <w:bottom w:w="0" w:type="dxa"/>
          <w:right w:w="108" w:type="dxa"/>
        </w:tblCellMar>
      </w:tblPr>
      <w:tblGrid>
        <w:gridCol w:w="1505"/>
        <w:gridCol w:w="3510"/>
        <w:gridCol w:w="1515"/>
        <w:gridCol w:w="3154"/>
      </w:tblGrid>
      <w:tr>
        <w:tblPrEx>
          <w:tblCellMar>
            <w:top w:w="0" w:type="dxa"/>
            <w:left w:w="108" w:type="dxa"/>
            <w:bottom w:w="0" w:type="dxa"/>
            <w:right w:w="108" w:type="dxa"/>
          </w:tblCellMar>
        </w:tblPrEx>
        <w:trPr>
          <w:trHeight w:val="376" w:hRule="atLeast"/>
          <w:jc w:val="center"/>
        </w:trPr>
        <w:tc>
          <w:tcPr>
            <w:tcW w:w="1505" w:type="dxa"/>
            <w:tcBorders>
              <w:top w:val="single" w:color="auto" w:sz="8" w:space="0"/>
              <w:left w:val="single" w:color="auto" w:sz="8" w:space="0"/>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甲方</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盖章</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w:t>
            </w:r>
          </w:p>
        </w:tc>
        <w:tc>
          <w:tcPr>
            <w:tcW w:w="3510" w:type="dxa"/>
            <w:tcBorders>
              <w:top w:val="single" w:color="auto" w:sz="8" w:space="0"/>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b/>
                <w:bCs/>
                <w:kern w:val="0"/>
                <w:sz w:val="21"/>
                <w:szCs w:val="21"/>
                <w:lang w:eastAsia="zh-CN"/>
              </w:rPr>
            </w:pPr>
          </w:p>
        </w:tc>
        <w:tc>
          <w:tcPr>
            <w:tcW w:w="1515" w:type="dxa"/>
            <w:tcBorders>
              <w:top w:val="single" w:color="auto" w:sz="8" w:space="0"/>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乙方</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手印</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w:t>
            </w:r>
          </w:p>
        </w:tc>
        <w:tc>
          <w:tcPr>
            <w:tcW w:w="3154" w:type="dxa"/>
            <w:tcBorders>
              <w:top w:val="single" w:color="auto" w:sz="8" w:space="0"/>
              <w:left w:val="nil"/>
              <w:bottom w:val="single" w:color="auto" w:sz="8" w:space="0"/>
              <w:right w:val="single" w:color="auto" w:sz="8" w:space="0"/>
            </w:tcBorders>
            <w:vAlign w:val="center"/>
          </w:tcPr>
          <w:p>
            <w:pPr>
              <w:spacing w:line="360" w:lineRule="auto"/>
              <w:jc w:val="center"/>
              <w:rPr>
                <w:rFonts w:hint="eastAsia" w:asciiTheme="minorEastAsia" w:hAnsiTheme="minorEastAsia" w:eastAsiaTheme="minorEastAsia" w:cstheme="minorEastAsia"/>
                <w:b/>
                <w:bCs/>
                <w:kern w:val="0"/>
                <w:sz w:val="21"/>
                <w:szCs w:val="21"/>
                <w:lang w:eastAsia="zh-CN"/>
              </w:rPr>
            </w:pPr>
          </w:p>
        </w:tc>
      </w:tr>
      <w:tr>
        <w:tblPrEx>
          <w:tblCellMar>
            <w:top w:w="0" w:type="dxa"/>
            <w:left w:w="108" w:type="dxa"/>
            <w:bottom w:w="0" w:type="dxa"/>
            <w:right w:w="108" w:type="dxa"/>
          </w:tblCellMar>
        </w:tblPrEx>
        <w:trPr>
          <w:trHeight w:val="344" w:hRule="atLeast"/>
          <w:jc w:val="center"/>
        </w:trPr>
        <w:tc>
          <w:tcPr>
            <w:tcW w:w="1505" w:type="dxa"/>
            <w:tcBorders>
              <w:top w:val="nil"/>
              <w:left w:val="single" w:color="auto" w:sz="8" w:space="0"/>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委托代表：</w:t>
            </w:r>
          </w:p>
        </w:tc>
        <w:tc>
          <w:tcPr>
            <w:tcW w:w="3510"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lang w:val="en-US" w:eastAsia="zh-CN"/>
              </w:rPr>
            </w:pPr>
          </w:p>
        </w:tc>
        <w:tc>
          <w:tcPr>
            <w:tcW w:w="1515"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委托代表：</w:t>
            </w:r>
          </w:p>
        </w:tc>
        <w:tc>
          <w:tcPr>
            <w:tcW w:w="3154"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lang w:val="en-US" w:eastAsia="zh-CN"/>
              </w:rPr>
            </w:pPr>
          </w:p>
        </w:tc>
      </w:tr>
      <w:tr>
        <w:tblPrEx>
          <w:tblCellMar>
            <w:top w:w="0" w:type="dxa"/>
            <w:left w:w="108" w:type="dxa"/>
            <w:bottom w:w="0" w:type="dxa"/>
            <w:right w:w="108" w:type="dxa"/>
          </w:tblCellMar>
        </w:tblPrEx>
        <w:trPr>
          <w:trHeight w:val="337" w:hRule="atLeast"/>
          <w:jc w:val="center"/>
        </w:trPr>
        <w:tc>
          <w:tcPr>
            <w:tcW w:w="1505" w:type="dxa"/>
            <w:tcBorders>
              <w:top w:val="nil"/>
              <w:left w:val="single" w:color="auto" w:sz="8" w:space="0"/>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 话：</w:t>
            </w:r>
          </w:p>
        </w:tc>
        <w:tc>
          <w:tcPr>
            <w:tcW w:w="3510"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p>
        </w:tc>
        <w:tc>
          <w:tcPr>
            <w:tcW w:w="1515"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 话：</w:t>
            </w:r>
          </w:p>
        </w:tc>
        <w:tc>
          <w:tcPr>
            <w:tcW w:w="3154" w:type="dxa"/>
            <w:tcBorders>
              <w:top w:val="nil"/>
              <w:left w:val="nil"/>
              <w:bottom w:val="single" w:color="auto" w:sz="8" w:space="0"/>
              <w:right w:val="single" w:color="auto" w:sz="8" w:space="0"/>
            </w:tcBorders>
            <w:vAlign w:val="center"/>
          </w:tcPr>
          <w:p>
            <w:pPr>
              <w:widowControl/>
              <w:spacing w:line="440" w:lineRule="exact"/>
              <w:jc w:val="center"/>
              <w:rPr>
                <w:rFonts w:hint="default" w:asciiTheme="minorEastAsia" w:hAnsiTheme="minorEastAsia" w:eastAsiaTheme="minorEastAsia" w:cstheme="minorEastAsia"/>
                <w:kern w:val="0"/>
                <w:sz w:val="21"/>
                <w:szCs w:val="21"/>
                <w:lang w:val="en-US" w:eastAsia="zh-CN"/>
              </w:rPr>
            </w:pPr>
          </w:p>
        </w:tc>
      </w:tr>
      <w:tr>
        <w:tblPrEx>
          <w:tblCellMar>
            <w:top w:w="0" w:type="dxa"/>
            <w:left w:w="108" w:type="dxa"/>
            <w:bottom w:w="0" w:type="dxa"/>
            <w:right w:w="108" w:type="dxa"/>
          </w:tblCellMar>
        </w:tblPrEx>
        <w:trPr>
          <w:trHeight w:val="337" w:hRule="atLeast"/>
          <w:jc w:val="center"/>
        </w:trPr>
        <w:tc>
          <w:tcPr>
            <w:tcW w:w="1505" w:type="dxa"/>
            <w:tcBorders>
              <w:top w:val="nil"/>
              <w:left w:val="single" w:color="auto" w:sz="8" w:space="0"/>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邮 箱：</w:t>
            </w:r>
          </w:p>
        </w:tc>
        <w:tc>
          <w:tcPr>
            <w:tcW w:w="3510"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p>
        </w:tc>
        <w:tc>
          <w:tcPr>
            <w:tcW w:w="1515"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邮 箱：</w:t>
            </w:r>
          </w:p>
        </w:tc>
        <w:tc>
          <w:tcPr>
            <w:tcW w:w="3154" w:type="dxa"/>
            <w:tcBorders>
              <w:top w:val="nil"/>
              <w:left w:val="nil"/>
              <w:bottom w:val="single" w:color="auto" w:sz="8" w:space="0"/>
              <w:right w:val="single" w:color="auto" w:sz="8" w:space="0"/>
            </w:tcBorders>
            <w:vAlign w:val="center"/>
          </w:tcPr>
          <w:p>
            <w:pPr>
              <w:widowControl/>
              <w:spacing w:line="440" w:lineRule="exact"/>
              <w:jc w:val="center"/>
              <w:rPr>
                <w:rFonts w:hint="default" w:asciiTheme="minorEastAsia" w:hAnsiTheme="minorEastAsia" w:eastAsiaTheme="minorEastAsia" w:cstheme="minorEastAsia"/>
                <w:kern w:val="0"/>
                <w:sz w:val="21"/>
                <w:szCs w:val="21"/>
                <w:lang w:val="en-US" w:eastAsia="zh-CN"/>
              </w:rPr>
            </w:pPr>
          </w:p>
        </w:tc>
      </w:tr>
      <w:tr>
        <w:tblPrEx>
          <w:tblCellMar>
            <w:top w:w="0" w:type="dxa"/>
            <w:left w:w="108" w:type="dxa"/>
            <w:bottom w:w="0" w:type="dxa"/>
            <w:right w:w="108" w:type="dxa"/>
          </w:tblCellMar>
        </w:tblPrEx>
        <w:trPr>
          <w:trHeight w:val="337" w:hRule="atLeast"/>
          <w:jc w:val="center"/>
        </w:trPr>
        <w:tc>
          <w:tcPr>
            <w:tcW w:w="1505" w:type="dxa"/>
            <w:tcBorders>
              <w:top w:val="nil"/>
              <w:left w:val="single" w:color="auto" w:sz="8" w:space="0"/>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 址：</w:t>
            </w:r>
          </w:p>
        </w:tc>
        <w:tc>
          <w:tcPr>
            <w:tcW w:w="3510"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p>
        </w:tc>
        <w:tc>
          <w:tcPr>
            <w:tcW w:w="1515"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 址：</w:t>
            </w:r>
          </w:p>
        </w:tc>
        <w:tc>
          <w:tcPr>
            <w:tcW w:w="3154" w:type="dxa"/>
            <w:tcBorders>
              <w:top w:val="nil"/>
              <w:left w:val="nil"/>
              <w:bottom w:val="single" w:color="auto" w:sz="8" w:space="0"/>
              <w:right w:val="single" w:color="auto" w:sz="8" w:space="0"/>
            </w:tcBorders>
            <w:vAlign w:val="center"/>
          </w:tcPr>
          <w:p>
            <w:pPr>
              <w:spacing w:line="360" w:lineRule="auto"/>
              <w:jc w:val="center"/>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337" w:hRule="atLeast"/>
          <w:jc w:val="center"/>
        </w:trPr>
        <w:tc>
          <w:tcPr>
            <w:tcW w:w="1505" w:type="dxa"/>
            <w:tcBorders>
              <w:top w:val="nil"/>
              <w:left w:val="single" w:color="auto" w:sz="8" w:space="0"/>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开户银行：</w:t>
            </w:r>
          </w:p>
        </w:tc>
        <w:tc>
          <w:tcPr>
            <w:tcW w:w="3510"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b w:val="0"/>
                <w:bCs w:val="0"/>
                <w:kern w:val="0"/>
                <w:sz w:val="21"/>
                <w:szCs w:val="21"/>
              </w:rPr>
            </w:pPr>
          </w:p>
        </w:tc>
        <w:tc>
          <w:tcPr>
            <w:tcW w:w="1515"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开户银行：</w:t>
            </w:r>
          </w:p>
        </w:tc>
        <w:tc>
          <w:tcPr>
            <w:tcW w:w="3154"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b w:val="0"/>
                <w:bCs w:val="0"/>
                <w:kern w:val="0"/>
                <w:sz w:val="21"/>
                <w:szCs w:val="21"/>
              </w:rPr>
            </w:pPr>
          </w:p>
        </w:tc>
      </w:tr>
      <w:tr>
        <w:tblPrEx>
          <w:tblCellMar>
            <w:top w:w="0" w:type="dxa"/>
            <w:left w:w="108" w:type="dxa"/>
            <w:bottom w:w="0" w:type="dxa"/>
            <w:right w:w="108" w:type="dxa"/>
          </w:tblCellMar>
        </w:tblPrEx>
        <w:trPr>
          <w:trHeight w:val="353" w:hRule="atLeast"/>
          <w:jc w:val="center"/>
        </w:trPr>
        <w:tc>
          <w:tcPr>
            <w:tcW w:w="1505" w:type="dxa"/>
            <w:tcBorders>
              <w:top w:val="nil"/>
              <w:left w:val="single" w:color="auto" w:sz="8" w:space="0"/>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账   号：</w:t>
            </w:r>
          </w:p>
        </w:tc>
        <w:tc>
          <w:tcPr>
            <w:tcW w:w="3510"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b w:val="0"/>
                <w:bCs w:val="0"/>
                <w:sz w:val="21"/>
                <w:szCs w:val="21"/>
                <w:highlight w:val="none"/>
                <w:lang w:eastAsia="zh-CN"/>
              </w:rPr>
            </w:pPr>
          </w:p>
        </w:tc>
        <w:tc>
          <w:tcPr>
            <w:tcW w:w="1515"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b w:val="0"/>
                <w:bCs w:val="0"/>
                <w:kern w:val="0"/>
                <w:sz w:val="21"/>
                <w:szCs w:val="21"/>
                <w:highlight w:val="none"/>
              </w:rPr>
            </w:pPr>
            <w:r>
              <w:rPr>
                <w:rFonts w:hint="eastAsia" w:asciiTheme="minorEastAsia" w:hAnsiTheme="minorEastAsia" w:eastAsiaTheme="minorEastAsia" w:cstheme="minorEastAsia"/>
                <w:b w:val="0"/>
                <w:bCs w:val="0"/>
                <w:kern w:val="0"/>
                <w:sz w:val="21"/>
                <w:szCs w:val="21"/>
                <w:highlight w:val="none"/>
              </w:rPr>
              <w:t>账   号：</w:t>
            </w:r>
          </w:p>
        </w:tc>
        <w:tc>
          <w:tcPr>
            <w:tcW w:w="3154"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b w:val="0"/>
                <w:bCs w:val="0"/>
                <w:kern w:val="0"/>
                <w:sz w:val="21"/>
                <w:szCs w:val="21"/>
                <w:highlight w:val="none"/>
                <w:lang w:val="en-US" w:eastAsia="zh-CN"/>
              </w:rPr>
            </w:pPr>
          </w:p>
        </w:tc>
      </w:tr>
      <w:tr>
        <w:tblPrEx>
          <w:tblCellMar>
            <w:top w:w="0" w:type="dxa"/>
            <w:left w:w="108" w:type="dxa"/>
            <w:bottom w:w="0" w:type="dxa"/>
            <w:right w:w="108" w:type="dxa"/>
          </w:tblCellMar>
        </w:tblPrEx>
        <w:trPr>
          <w:trHeight w:val="346" w:hRule="atLeast"/>
          <w:jc w:val="center"/>
        </w:trPr>
        <w:tc>
          <w:tcPr>
            <w:tcW w:w="1505" w:type="dxa"/>
            <w:tcBorders>
              <w:top w:val="nil"/>
              <w:left w:val="single" w:color="auto" w:sz="8" w:space="0"/>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签约日期：</w:t>
            </w:r>
          </w:p>
        </w:tc>
        <w:tc>
          <w:tcPr>
            <w:tcW w:w="3510" w:type="dxa"/>
            <w:tcBorders>
              <w:top w:val="nil"/>
              <w:left w:val="nil"/>
              <w:bottom w:val="single" w:color="auto" w:sz="8" w:space="0"/>
              <w:right w:val="single" w:color="auto" w:sz="8" w:space="0"/>
            </w:tcBorders>
            <w:vAlign w:val="center"/>
          </w:tcPr>
          <w:p>
            <w:pPr>
              <w:widowControl/>
              <w:spacing w:line="440" w:lineRule="exact"/>
              <w:jc w:val="center"/>
              <w:rPr>
                <w:rFonts w:hint="default" w:asciiTheme="minorEastAsia" w:hAnsiTheme="minorEastAsia" w:eastAsiaTheme="minorEastAsia" w:cstheme="minorEastAsia"/>
                <w:kern w:val="0"/>
                <w:sz w:val="21"/>
                <w:szCs w:val="21"/>
                <w:highlight w:val="red"/>
                <w:lang w:val="en-US" w:eastAsia="zh-CN"/>
              </w:rPr>
            </w:pPr>
            <w:r>
              <w:rPr>
                <w:rFonts w:hint="eastAsia" w:asciiTheme="minorEastAsia" w:hAnsiTheme="minorEastAsia" w:cstheme="minorEastAsia"/>
                <w:kern w:val="0"/>
                <w:sz w:val="21"/>
                <w:szCs w:val="21"/>
                <w:lang w:val="en-US" w:eastAsia="zh-CN"/>
              </w:rPr>
              <w:t>2025年 月 日</w:t>
            </w:r>
          </w:p>
        </w:tc>
        <w:tc>
          <w:tcPr>
            <w:tcW w:w="1515" w:type="dxa"/>
            <w:tcBorders>
              <w:top w:val="nil"/>
              <w:left w:val="nil"/>
              <w:bottom w:val="single" w:color="auto" w:sz="8" w:space="0"/>
              <w:right w:val="single" w:color="auto" w:sz="8" w:space="0"/>
            </w:tcBorders>
            <w:vAlign w:val="center"/>
          </w:tcPr>
          <w:p>
            <w:pPr>
              <w:widowControl/>
              <w:spacing w:line="4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签约日期：</w:t>
            </w:r>
          </w:p>
        </w:tc>
        <w:tc>
          <w:tcPr>
            <w:tcW w:w="3154" w:type="dxa"/>
            <w:tcBorders>
              <w:top w:val="nil"/>
              <w:left w:val="nil"/>
              <w:bottom w:val="single" w:color="auto" w:sz="8" w:space="0"/>
              <w:right w:val="single" w:color="auto" w:sz="8" w:space="0"/>
            </w:tcBorders>
            <w:vAlign w:val="center"/>
          </w:tcPr>
          <w:p>
            <w:pPr>
              <w:widowControl/>
              <w:spacing w:line="44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2025年 月 日</w:t>
            </w:r>
          </w:p>
        </w:tc>
      </w:tr>
    </w:tbl>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bookmarkStart w:id="5" w:name="_GoBack"/>
      <w:bookmarkEnd w:id="5"/>
      <w:r>
        <w:rPr>
          <w:rFonts w:hint="eastAsia" w:asciiTheme="minorEastAsia" w:hAnsiTheme="minorEastAsia" w:eastAsiaTheme="minorEastAsia" w:cstheme="minorEastAsia"/>
          <w:sz w:val="21"/>
          <w:szCs w:val="21"/>
          <w:lang w:val="en-US" w:eastAsia="zh-CN"/>
        </w:rPr>
        <w:t>附件1：</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运配线路价格表</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附件2：</w:t>
      </w:r>
    </w:p>
    <w:p>
      <w:pPr>
        <w:spacing w:line="580" w:lineRule="exact"/>
        <w:jc w:val="center"/>
        <w:rPr>
          <w:rFonts w:ascii="仿宋" w:hAnsi="仿宋" w:eastAsia="仿宋" w:cs="Calibri"/>
          <w:b/>
          <w:sz w:val="28"/>
          <w:szCs w:val="28"/>
        </w:rPr>
      </w:pPr>
      <w:r>
        <w:rPr>
          <w:rFonts w:hint="eastAsia" w:ascii="仿宋" w:hAnsi="仿宋" w:eastAsia="仿宋" w:cs="Calibri"/>
          <w:b/>
          <w:sz w:val="28"/>
          <w:szCs w:val="28"/>
        </w:rPr>
        <w:t>运输安全协议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Calibri"/>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Calibri"/>
          <w:sz w:val="24"/>
          <w:szCs w:val="24"/>
        </w:rPr>
      </w:pPr>
      <w:r>
        <w:rPr>
          <w:rFonts w:hint="eastAsia" w:ascii="仿宋" w:hAnsi="仿宋" w:eastAsia="仿宋" w:cs="Calibri"/>
          <w:sz w:val="24"/>
          <w:szCs w:val="24"/>
        </w:rPr>
        <w:t xml:space="preserve">甲 </w:t>
      </w:r>
      <w:r>
        <w:rPr>
          <w:rFonts w:ascii="仿宋" w:hAnsi="仿宋" w:eastAsia="仿宋" w:cs="Calibri"/>
          <w:sz w:val="24"/>
          <w:szCs w:val="24"/>
        </w:rPr>
        <w:t xml:space="preserve"> </w:t>
      </w:r>
      <w:r>
        <w:rPr>
          <w:rFonts w:hint="eastAsia" w:ascii="仿宋" w:hAnsi="仿宋" w:eastAsia="仿宋" w:cs="Calibri"/>
          <w:sz w:val="24"/>
          <w:szCs w:val="24"/>
        </w:rPr>
        <w:t>方：</w:t>
      </w:r>
      <w:r>
        <w:rPr>
          <w:rFonts w:ascii="仿宋" w:hAnsi="仿宋" w:eastAsia="仿宋" w:cs="Calibri"/>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Calibri"/>
          <w:sz w:val="24"/>
          <w:szCs w:val="24"/>
        </w:rPr>
      </w:pPr>
      <w:r>
        <w:rPr>
          <w:rFonts w:hint="eastAsia" w:ascii="仿宋" w:hAnsi="仿宋" w:eastAsia="仿宋" w:cs="Calibri"/>
          <w:sz w:val="24"/>
          <w:szCs w:val="24"/>
        </w:rPr>
        <w:t xml:space="preserve">乙 </w:t>
      </w:r>
      <w:r>
        <w:rPr>
          <w:rFonts w:ascii="仿宋" w:hAnsi="仿宋" w:eastAsia="仿宋" w:cs="Calibri"/>
          <w:sz w:val="24"/>
          <w:szCs w:val="24"/>
        </w:rPr>
        <w:t xml:space="preserve"> </w:t>
      </w:r>
      <w:r>
        <w:rPr>
          <w:rFonts w:hint="eastAsia" w:ascii="仿宋" w:hAnsi="仿宋" w:eastAsia="仿宋" w:cs="Calibri"/>
          <w:sz w:val="24"/>
          <w:szCs w:val="24"/>
        </w:rPr>
        <w:t>方：</w:t>
      </w:r>
      <w:r>
        <w:rPr>
          <w:rFonts w:ascii="仿宋" w:hAnsi="仿宋" w:eastAsia="仿宋" w:cs="Calibri"/>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Calibri"/>
          <w:sz w:val="24"/>
          <w:szCs w:val="24"/>
        </w:rPr>
      </w:pPr>
      <w:r>
        <w:rPr>
          <w:rFonts w:hint="eastAsia" w:ascii="仿宋" w:hAnsi="仿宋" w:eastAsia="仿宋" w:cs="Calibri"/>
          <w:sz w:val="24"/>
          <w:szCs w:val="24"/>
        </w:rPr>
        <w:t>为防止和减少安全事故，有效促进双方全面履行经营运输合同，维护双方的合法权益，根据《中华人民共和国道路交通安全法》及相关法律、行政法规和规章，在平等、自愿、公平、诚信的原则下，双方就运输安全事项协商一致，达成如下协议：</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Calibri"/>
          <w:sz w:val="24"/>
          <w:szCs w:val="24"/>
        </w:rPr>
      </w:pPr>
      <w:r>
        <w:rPr>
          <w:rFonts w:hint="eastAsia" w:ascii="仿宋" w:hAnsi="仿宋" w:eastAsia="仿宋" w:cs="Calibri"/>
          <w:sz w:val="24"/>
          <w:szCs w:val="24"/>
          <w:lang w:eastAsia="zh-CN"/>
        </w:rPr>
        <w:t>一、</w:t>
      </w:r>
      <w:r>
        <w:rPr>
          <w:rFonts w:hint="eastAsia" w:ascii="仿宋" w:hAnsi="仿宋" w:eastAsia="仿宋" w:cs="Calibri"/>
          <w:sz w:val="24"/>
          <w:szCs w:val="24"/>
        </w:rPr>
        <w:t>乙方应做到谁的车谁负责，认真执行国家法律、法规、职业道德和岗位技能方面的学习和再培训，运输过程中不开“英雄车”，不得指使、强令车辆驾驶人超限运输货物，不得阻碍道路运输管理机构依法监督检查。车辆上路前应规范装载，车辆装载货物（包含车辆附件）掉落、遗撒、飘散后，车辆驾驶员需及时采取措施处理，造成他人人身、财产损害的，该车驾驶人及实际车辆业主应当依法承担赔偿责任。特定岗位应具备资质人员专业操作。</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Calibri"/>
          <w:sz w:val="24"/>
          <w:szCs w:val="24"/>
        </w:rPr>
      </w:pPr>
      <w:r>
        <w:rPr>
          <w:rFonts w:hint="eastAsia" w:ascii="仿宋" w:hAnsi="仿宋" w:eastAsia="仿宋" w:cs="Calibri"/>
          <w:sz w:val="24"/>
          <w:szCs w:val="24"/>
          <w:lang w:eastAsia="zh-CN"/>
        </w:rPr>
        <w:t>二、</w:t>
      </w:r>
      <w:r>
        <w:rPr>
          <w:rFonts w:hint="eastAsia" w:ascii="仿宋" w:hAnsi="仿宋" w:eastAsia="仿宋" w:cs="Calibri"/>
          <w:sz w:val="24"/>
          <w:szCs w:val="24"/>
        </w:rPr>
        <w:t>乙方进入作业现场的车辆必须手续齐全完备。保证车辆的完好率，禁止带病行驶，超速行驶，超载行驶，严禁无证驾驶、酒后驾驶。</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Calibri"/>
          <w:sz w:val="24"/>
          <w:szCs w:val="24"/>
        </w:rPr>
      </w:pPr>
      <w:r>
        <w:rPr>
          <w:rFonts w:hint="eastAsia" w:ascii="仿宋" w:hAnsi="仿宋" w:eastAsia="仿宋" w:cs="Calibri"/>
          <w:sz w:val="24"/>
          <w:szCs w:val="24"/>
          <w:lang w:eastAsia="zh-CN"/>
        </w:rPr>
        <w:t>三、</w:t>
      </w:r>
      <w:r>
        <w:rPr>
          <w:rFonts w:hint="eastAsia" w:ascii="仿宋" w:hAnsi="仿宋" w:eastAsia="仿宋" w:cs="Calibri"/>
          <w:sz w:val="24"/>
          <w:szCs w:val="24"/>
        </w:rPr>
        <w:t>乙方车辆在转弯或过路口时，要注意来往车辆和行人。要做到一停、二看、三通过。</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Calibri"/>
          <w:sz w:val="24"/>
          <w:szCs w:val="24"/>
        </w:rPr>
      </w:pPr>
      <w:r>
        <w:rPr>
          <w:rFonts w:hint="eastAsia" w:ascii="仿宋" w:hAnsi="仿宋" w:eastAsia="仿宋" w:cs="Calibri"/>
          <w:sz w:val="24"/>
          <w:szCs w:val="24"/>
          <w:lang w:eastAsia="zh-CN"/>
        </w:rPr>
        <w:t>四、</w:t>
      </w:r>
      <w:r>
        <w:rPr>
          <w:rFonts w:hint="eastAsia" w:ascii="仿宋" w:hAnsi="仿宋" w:eastAsia="仿宋" w:cs="Calibri"/>
          <w:sz w:val="24"/>
          <w:szCs w:val="24"/>
        </w:rPr>
        <w:t>乙方车辆行车时要注意安全，注意来往车辆和行人，礼让三先，遵章驾驶。</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Calibri"/>
          <w:sz w:val="24"/>
          <w:szCs w:val="24"/>
        </w:rPr>
      </w:pPr>
      <w:r>
        <w:rPr>
          <w:rFonts w:hint="eastAsia" w:ascii="仿宋" w:hAnsi="仿宋" w:eastAsia="仿宋" w:cs="Calibri"/>
          <w:sz w:val="24"/>
          <w:szCs w:val="24"/>
          <w:lang w:eastAsia="zh-CN"/>
        </w:rPr>
        <w:t>五、</w:t>
      </w:r>
      <w:r>
        <w:rPr>
          <w:rFonts w:hint="eastAsia" w:ascii="仿宋" w:hAnsi="仿宋" w:eastAsia="仿宋" w:cs="Calibri"/>
          <w:sz w:val="24"/>
          <w:szCs w:val="24"/>
        </w:rPr>
        <w:t>乙方必须遵守《中华人民共和国道路交通安全法》等方面的法律、法规和其他要求，以及甲方制订的规章制度和其他要求。</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Calibri"/>
          <w:sz w:val="24"/>
          <w:szCs w:val="24"/>
        </w:rPr>
      </w:pPr>
      <w:r>
        <w:rPr>
          <w:rFonts w:hint="eastAsia" w:ascii="仿宋" w:hAnsi="仿宋" w:eastAsia="仿宋" w:cs="Calibri"/>
          <w:sz w:val="24"/>
          <w:szCs w:val="24"/>
          <w:lang w:eastAsia="zh-CN"/>
        </w:rPr>
        <w:t>六、</w:t>
      </w:r>
      <w:r>
        <w:rPr>
          <w:rFonts w:hint="eastAsia" w:ascii="仿宋" w:hAnsi="仿宋" w:eastAsia="仿宋" w:cs="Calibri"/>
          <w:sz w:val="24"/>
          <w:szCs w:val="24"/>
        </w:rPr>
        <w:t>乙方在作业中所发生的一切车辆及一切人身伤亡事故，所造成的经济损失，甲方概不负责，一切后果由乙方承担；以上规定乙方自愿履行。</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Calibri"/>
          <w:sz w:val="24"/>
          <w:szCs w:val="24"/>
          <w:lang w:eastAsia="zh-CN"/>
        </w:rPr>
      </w:pPr>
      <w:r>
        <w:rPr>
          <w:rFonts w:hint="eastAsia" w:ascii="仿宋" w:hAnsi="仿宋" w:eastAsia="仿宋" w:cs="Calibri"/>
          <w:sz w:val="24"/>
          <w:szCs w:val="24"/>
          <w:lang w:eastAsia="zh-CN"/>
        </w:rPr>
        <w:t>七、</w:t>
      </w:r>
      <w:r>
        <w:rPr>
          <w:rFonts w:hint="eastAsia" w:ascii="仿宋" w:hAnsi="仿宋" w:eastAsia="仿宋" w:cs="Calibri"/>
          <w:sz w:val="24"/>
          <w:szCs w:val="24"/>
        </w:rPr>
        <w:t>本协议自签订之日起生效。</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仿宋" w:hAnsi="仿宋" w:eastAsia="仿宋" w:cs="Calibri"/>
          <w:sz w:val="24"/>
          <w:szCs w:val="24"/>
          <w:lang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ascii="仿宋" w:hAnsi="仿宋" w:eastAsia="仿宋" w:cs="Calibri"/>
          <w:sz w:val="24"/>
          <w:szCs w:val="24"/>
        </w:rPr>
      </w:pPr>
      <w:r>
        <w:rPr>
          <w:rFonts w:hint="eastAsia" w:ascii="仿宋" w:hAnsi="仿宋" w:eastAsia="仿宋" w:cs="Calibri"/>
          <w:sz w:val="24"/>
          <w:szCs w:val="24"/>
          <w:lang w:eastAsia="zh-CN"/>
        </w:rPr>
        <w:t>（以下无正文）</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Calibri"/>
          <w:sz w:val="24"/>
          <w:szCs w:val="24"/>
        </w:rPr>
      </w:pP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Calibri"/>
          <w:sz w:val="24"/>
          <w:szCs w:val="24"/>
          <w:lang w:eastAsia="zh-CN"/>
        </w:rPr>
      </w:pPr>
      <w:r>
        <w:rPr>
          <w:rFonts w:hint="eastAsia" w:ascii="仿宋" w:hAnsi="仿宋" w:eastAsia="仿宋" w:cs="Calibri"/>
          <w:sz w:val="24"/>
          <w:szCs w:val="24"/>
        </w:rPr>
        <w:t>甲方（盖章）</w:t>
      </w:r>
      <w:r>
        <w:rPr>
          <w:rFonts w:hint="eastAsia" w:ascii="仿宋" w:hAnsi="仿宋" w:eastAsia="仿宋" w:cs="Calibri"/>
          <w:sz w:val="24"/>
          <w:szCs w:val="24"/>
          <w:lang w:eastAsia="zh-CN"/>
        </w:rPr>
        <w:t>：</w:t>
      </w:r>
      <w:r>
        <w:rPr>
          <w:rFonts w:hint="eastAsia" w:ascii="仿宋" w:hAnsi="仿宋" w:eastAsia="仿宋" w:cs="Calibri"/>
          <w:sz w:val="24"/>
          <w:szCs w:val="24"/>
        </w:rPr>
        <w:t xml:space="preserve">  </w:t>
      </w:r>
      <w:r>
        <w:rPr>
          <w:rFonts w:ascii="仿宋" w:hAnsi="仿宋" w:eastAsia="仿宋" w:cs="Calibri"/>
          <w:sz w:val="24"/>
          <w:szCs w:val="24"/>
        </w:rPr>
        <w:t xml:space="preserve">   </w:t>
      </w:r>
      <w:r>
        <w:rPr>
          <w:rFonts w:hint="eastAsia" w:ascii="仿宋" w:hAnsi="仿宋" w:eastAsia="仿宋" w:cs="Calibri"/>
          <w:sz w:val="24"/>
          <w:szCs w:val="24"/>
          <w:lang w:val="en-US" w:eastAsia="zh-CN"/>
        </w:rPr>
        <w:t xml:space="preserve">                      </w:t>
      </w:r>
      <w:r>
        <w:rPr>
          <w:rFonts w:hint="eastAsia" w:ascii="仿宋" w:hAnsi="仿宋" w:eastAsia="仿宋" w:cs="Calibri"/>
          <w:sz w:val="24"/>
          <w:szCs w:val="24"/>
        </w:rPr>
        <w:t>乙方（盖章）</w:t>
      </w:r>
      <w:r>
        <w:rPr>
          <w:rFonts w:hint="eastAsia" w:ascii="仿宋" w:hAnsi="仿宋" w:eastAsia="仿宋" w:cs="Calibri"/>
          <w:sz w:val="24"/>
          <w:szCs w:val="24"/>
          <w:lang w:eastAsia="zh-CN"/>
        </w:rPr>
        <w:t>：</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Calibri"/>
          <w:sz w:val="24"/>
          <w:szCs w:val="24"/>
        </w:rPr>
      </w:pPr>
      <w:r>
        <w:rPr>
          <w:rFonts w:hint="eastAsia" w:ascii="仿宋" w:hAnsi="仿宋" w:eastAsia="仿宋" w:cs="Calibri"/>
          <w:sz w:val="24"/>
          <w:szCs w:val="24"/>
          <w:lang w:eastAsia="zh-CN"/>
        </w:rPr>
        <w:t>甲方代表：</w:t>
      </w:r>
      <w:r>
        <w:rPr>
          <w:rFonts w:hint="eastAsia" w:ascii="仿宋" w:hAnsi="仿宋" w:eastAsia="仿宋" w:cs="Calibri"/>
          <w:sz w:val="24"/>
          <w:szCs w:val="24"/>
          <w:lang w:val="en-US" w:eastAsia="zh-CN"/>
        </w:rPr>
        <w:t xml:space="preserve">                               乙方代表：</w:t>
      </w:r>
      <w:r>
        <w:rPr>
          <w:rFonts w:hint="eastAsia" w:ascii="仿宋" w:hAnsi="仿宋" w:eastAsia="仿宋" w:cs="Calibri"/>
          <w:sz w:val="24"/>
          <w:szCs w:val="24"/>
        </w:rPr>
        <w:t xml:space="preserve"> </w:t>
      </w:r>
    </w:p>
    <w:p>
      <w:pPr>
        <w:pStyle w:val="2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仿宋" w:hAnsi="仿宋" w:eastAsia="仿宋" w:cs="Calibri"/>
          <w:sz w:val="24"/>
          <w:szCs w:val="24"/>
        </w:rPr>
      </w:pPr>
      <w:r>
        <w:rPr>
          <w:rFonts w:hint="eastAsia" w:ascii="仿宋" w:hAnsi="仿宋" w:eastAsia="仿宋" w:cs="Calibri"/>
          <w:sz w:val="24"/>
          <w:szCs w:val="24"/>
          <w:lang w:eastAsia="zh-CN"/>
        </w:rPr>
        <w:t>联系</w:t>
      </w:r>
      <w:r>
        <w:rPr>
          <w:rFonts w:hint="eastAsia" w:ascii="仿宋" w:hAnsi="仿宋" w:eastAsia="仿宋" w:cs="Calibri"/>
          <w:sz w:val="24"/>
          <w:szCs w:val="24"/>
        </w:rPr>
        <w:t>电话：</w:t>
      </w:r>
      <w:r>
        <w:rPr>
          <w:rFonts w:ascii="仿宋" w:hAnsi="仿宋" w:eastAsia="仿宋" w:cs="Calibri"/>
          <w:sz w:val="24"/>
          <w:szCs w:val="24"/>
        </w:rPr>
        <w:t xml:space="preserve">                </w:t>
      </w:r>
      <w:r>
        <w:rPr>
          <w:rFonts w:hint="eastAsia" w:ascii="仿宋" w:hAnsi="仿宋" w:eastAsia="仿宋" w:cs="Calibri"/>
          <w:sz w:val="24"/>
          <w:szCs w:val="24"/>
          <w:lang w:val="en-US" w:eastAsia="zh-CN"/>
        </w:rPr>
        <w:t xml:space="preserve">               </w:t>
      </w:r>
      <w:r>
        <w:rPr>
          <w:rFonts w:hint="eastAsia" w:ascii="仿宋" w:hAnsi="仿宋" w:eastAsia="仿宋" w:cs="Calibri"/>
          <w:sz w:val="24"/>
          <w:szCs w:val="24"/>
          <w:lang w:eastAsia="zh-CN"/>
        </w:rPr>
        <w:t>联系</w:t>
      </w:r>
      <w:r>
        <w:rPr>
          <w:rFonts w:hint="eastAsia" w:ascii="仿宋" w:hAnsi="仿宋" w:eastAsia="仿宋" w:cs="Calibri"/>
          <w:sz w:val="24"/>
          <w:szCs w:val="24"/>
        </w:rPr>
        <w:t>电话：</w:t>
      </w:r>
      <w:r>
        <w:rPr>
          <w:rFonts w:ascii="仿宋" w:hAnsi="仿宋" w:eastAsia="仿宋" w:cs="Calibri"/>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Calibri"/>
          <w:sz w:val="24"/>
          <w:szCs w:val="24"/>
        </w:rPr>
      </w:pPr>
      <w:r>
        <w:rPr>
          <w:rFonts w:hint="eastAsia" w:ascii="仿宋" w:hAnsi="仿宋" w:eastAsia="仿宋" w:cs="Calibri"/>
          <w:sz w:val="24"/>
          <w:szCs w:val="24"/>
          <w:lang w:val="en-US" w:eastAsia="zh-CN"/>
        </w:rPr>
        <w:t>日期：                                   日期：</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附件3:</w:t>
      </w:r>
    </w:p>
    <w:p>
      <w:pPr>
        <w:spacing w:before="156" w:beforeLines="50" w:after="156" w:afterLines="50" w:line="360" w:lineRule="auto"/>
        <w:jc w:val="center"/>
        <w:rPr>
          <w:rFonts w:ascii="楷体" w:hAnsi="楷体" w:eastAsia="楷体"/>
          <w:sz w:val="24"/>
        </w:rPr>
      </w:pPr>
      <w:r>
        <w:rPr>
          <w:rFonts w:hint="eastAsia" w:ascii="楷体" w:hAnsi="楷体" w:eastAsia="楷体"/>
          <w:b/>
          <w:bCs/>
          <w:kern w:val="0"/>
          <w:sz w:val="36"/>
          <w:szCs w:val="36"/>
        </w:rPr>
        <w:t>廉洁承诺书</w:t>
      </w:r>
    </w:p>
    <w:p>
      <w:pPr>
        <w:spacing w:line="360" w:lineRule="auto"/>
        <w:jc w:val="left"/>
        <w:rPr>
          <w:rFonts w:hint="eastAsia" w:ascii="楷体" w:hAnsi="楷体" w:eastAsia="楷体"/>
          <w:sz w:val="28"/>
          <w:szCs w:val="28"/>
        </w:rPr>
      </w:pPr>
    </w:p>
    <w:p>
      <w:pPr>
        <w:spacing w:line="360" w:lineRule="auto"/>
        <w:jc w:val="left"/>
        <w:rPr>
          <w:rFonts w:ascii="楷体" w:hAnsi="楷体" w:eastAsia="楷体"/>
          <w:sz w:val="28"/>
          <w:szCs w:val="28"/>
        </w:rPr>
      </w:pPr>
      <w:r>
        <w:rPr>
          <w:rFonts w:hint="eastAsia" w:ascii="楷体" w:hAnsi="楷体" w:eastAsia="楷体"/>
          <w:sz w:val="28"/>
          <w:szCs w:val="28"/>
        </w:rPr>
        <w:t>致</w:t>
      </w:r>
      <w:r>
        <w:rPr>
          <w:rFonts w:hint="eastAsia" w:ascii="楷体" w:hAnsi="楷体" w:eastAsia="楷体"/>
          <w:sz w:val="28"/>
          <w:szCs w:val="28"/>
          <w:u w:val="single"/>
          <w:lang w:val="en-US" w:eastAsia="zh-CN"/>
        </w:rPr>
        <w:t xml:space="preserve">                       </w:t>
      </w:r>
      <w:r>
        <w:rPr>
          <w:rFonts w:hint="eastAsia" w:ascii="楷体" w:hAnsi="楷体" w:eastAsia="楷体"/>
          <w:sz w:val="28"/>
          <w:szCs w:val="28"/>
        </w:rPr>
        <w:t>：</w:t>
      </w:r>
    </w:p>
    <w:p>
      <w:pPr>
        <w:spacing w:line="360" w:lineRule="auto"/>
        <w:ind w:firstLine="480"/>
        <w:jc w:val="left"/>
        <w:rPr>
          <w:rFonts w:ascii="楷体" w:hAnsi="楷体" w:eastAsia="楷体"/>
          <w:sz w:val="28"/>
          <w:szCs w:val="28"/>
        </w:rPr>
      </w:pPr>
      <w:r>
        <w:rPr>
          <w:rFonts w:hint="eastAsia" w:ascii="楷体" w:hAnsi="楷体" w:eastAsia="楷体"/>
          <w:sz w:val="28"/>
          <w:szCs w:val="28"/>
        </w:rPr>
        <w:t xml:space="preserve">为加强企业廉洁建设、规范各项业务活动、保障各方合法权益、预防各项不正当利益行为发生，我方同意从 </w:t>
      </w:r>
      <w:r>
        <w:rPr>
          <w:rFonts w:hint="eastAsia" w:ascii="楷体" w:hAnsi="楷体" w:eastAsia="楷体"/>
          <w:sz w:val="28"/>
          <w:szCs w:val="28"/>
          <w:lang w:val="en-US" w:eastAsia="zh-CN"/>
        </w:rPr>
        <w:t>2025</w:t>
      </w:r>
      <w:r>
        <w:rPr>
          <w:rFonts w:hint="eastAsia" w:ascii="楷体" w:hAnsi="楷体" w:eastAsia="楷体"/>
          <w:sz w:val="28"/>
          <w:szCs w:val="28"/>
        </w:rPr>
        <w:t>年</w:t>
      </w:r>
      <w:r>
        <w:rPr>
          <w:rFonts w:hint="eastAsia" w:ascii="楷体" w:hAnsi="楷体" w:eastAsia="楷体"/>
          <w:sz w:val="28"/>
          <w:szCs w:val="28"/>
          <w:lang w:val="en-US" w:eastAsia="zh-CN"/>
        </w:rPr>
        <w:t xml:space="preserve">  </w:t>
      </w:r>
      <w:r>
        <w:rPr>
          <w:rFonts w:hint="eastAsia" w:ascii="楷体" w:hAnsi="楷体" w:eastAsia="楷体"/>
          <w:sz w:val="28"/>
          <w:szCs w:val="28"/>
        </w:rPr>
        <w:t>月</w:t>
      </w:r>
      <w:r>
        <w:rPr>
          <w:rFonts w:hint="eastAsia" w:ascii="楷体" w:hAnsi="楷体" w:eastAsia="楷体"/>
          <w:sz w:val="28"/>
          <w:szCs w:val="28"/>
          <w:lang w:val="en-US" w:eastAsia="zh-CN"/>
        </w:rPr>
        <w:t xml:space="preserve">  </w:t>
      </w:r>
      <w:r>
        <w:rPr>
          <w:rFonts w:hint="eastAsia" w:ascii="楷体" w:hAnsi="楷体" w:eastAsia="楷体"/>
          <w:sz w:val="28"/>
          <w:szCs w:val="28"/>
        </w:rPr>
        <w:t>日起，在与贵方(</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及其母公司、分子公司、同一实际控制人下的其他公司等关联公司）进行任何商务合作过程中均需遵守以下廉洁承诺并承担相应责任。</w:t>
      </w:r>
    </w:p>
    <w:p>
      <w:pPr>
        <w:spacing w:line="360" w:lineRule="auto"/>
        <w:ind w:firstLine="480"/>
        <w:jc w:val="left"/>
        <w:rPr>
          <w:rFonts w:ascii="楷体" w:hAnsi="楷体" w:eastAsia="楷体"/>
          <w:sz w:val="28"/>
          <w:szCs w:val="28"/>
        </w:rPr>
      </w:pPr>
      <w:r>
        <w:rPr>
          <w:rFonts w:hint="eastAsia" w:ascii="楷体" w:hAnsi="楷体" w:eastAsia="楷体"/>
          <w:sz w:val="28"/>
          <w:szCs w:val="28"/>
        </w:rPr>
        <w:t>1.我方不得利用商务合作之便，侵吞、窃取、骗取或者以其他手段非法占有贵方财产；贵方财产包括但不限于贵方及其委托人实际占有或管理、有权占有或管理的有形资产和无形资产（如金融资产、产品配方、知识产权、商业秘密等）。</w:t>
      </w:r>
    </w:p>
    <w:p>
      <w:pPr>
        <w:spacing w:line="360" w:lineRule="auto"/>
        <w:ind w:firstLine="480"/>
        <w:jc w:val="left"/>
        <w:rPr>
          <w:rFonts w:ascii="楷体" w:hAnsi="楷体" w:eastAsia="楷体"/>
          <w:sz w:val="28"/>
          <w:szCs w:val="28"/>
        </w:rPr>
      </w:pPr>
      <w:r>
        <w:rPr>
          <w:rFonts w:hint="eastAsia" w:ascii="楷体" w:hAnsi="楷体" w:eastAsia="楷体"/>
          <w:sz w:val="28"/>
          <w:szCs w:val="28"/>
        </w:rPr>
        <w:t>2.我方不得向贵方工作人员主动提供、索取或接受任何礼金、财物、有价证券、支付票券、消费、旅游娱乐、宴请款待、借款或谋取其他服务便利，在双方业务合同之外提供、收取各种回扣、手续费等任何额外费用，或提供、谋取其他商业机会等不正当利益；如有特殊需要应当提前告知贵方并经贵方书面同意。</w:t>
      </w:r>
    </w:p>
    <w:p>
      <w:pPr>
        <w:spacing w:line="360" w:lineRule="auto"/>
        <w:ind w:firstLine="480"/>
        <w:jc w:val="left"/>
        <w:rPr>
          <w:rFonts w:ascii="楷体" w:hAnsi="楷体" w:eastAsia="楷体"/>
          <w:sz w:val="28"/>
          <w:szCs w:val="28"/>
        </w:rPr>
      </w:pPr>
      <w:r>
        <w:rPr>
          <w:rFonts w:hint="eastAsia" w:ascii="楷体" w:hAnsi="楷体" w:eastAsia="楷体"/>
          <w:sz w:val="28"/>
          <w:szCs w:val="28"/>
        </w:rPr>
        <w:t>3.我方不得为贵方工作人员及其亲属、配偶、情侣、朋友安排工作或职务，或向其介绍、提供任何商业合作机会，或聘请其兼职或提供咨询顾问等服务，或进行任何合伙、合资、入股等投资合作；如有上述情况，我方应提前告知贵方并经贵方书面同意。</w:t>
      </w:r>
    </w:p>
    <w:p>
      <w:pPr>
        <w:spacing w:line="360" w:lineRule="auto"/>
        <w:ind w:firstLine="480"/>
        <w:jc w:val="left"/>
        <w:rPr>
          <w:rFonts w:ascii="楷体" w:hAnsi="楷体" w:eastAsia="楷体"/>
          <w:sz w:val="28"/>
          <w:szCs w:val="28"/>
        </w:rPr>
      </w:pPr>
      <w:r>
        <w:rPr>
          <w:rFonts w:hint="eastAsia" w:ascii="楷体" w:hAnsi="楷体" w:eastAsia="楷体"/>
          <w:sz w:val="28"/>
          <w:szCs w:val="28"/>
        </w:rPr>
        <w:t>4.我方不得在商务合作中故意隐瞒事实、弄虚作假、提交虚假资料、虚报数据或成果，不得从事其他违反法律规定、公序良俗、商业惯例或道德的行为，谋取不当利益。</w:t>
      </w:r>
    </w:p>
    <w:p>
      <w:pPr>
        <w:spacing w:line="580" w:lineRule="exact"/>
        <w:ind w:firstLine="560" w:firstLineChars="200"/>
        <w:rPr>
          <w:rFonts w:ascii="楷体" w:hAnsi="楷体" w:eastAsia="楷体"/>
          <w:sz w:val="28"/>
          <w:szCs w:val="28"/>
        </w:rPr>
      </w:pPr>
      <w:r>
        <w:rPr>
          <w:rFonts w:hint="eastAsia" w:ascii="楷体" w:hAnsi="楷体" w:eastAsia="楷体"/>
          <w:sz w:val="28"/>
          <w:szCs w:val="28"/>
        </w:rPr>
        <w:t>5.我方支持贵方的诚信廉洁建设，如发现贵方工作人员存在任何不当行为或向我方索取不正当利益的，我方应当拒绝并有义务及时向贵方检举。我方知悉贵方投诉举报渠道：</w:t>
      </w:r>
    </w:p>
    <w:p>
      <w:pPr>
        <w:spacing w:line="580" w:lineRule="exact"/>
        <w:ind w:firstLine="560" w:firstLineChars="200"/>
        <w:rPr>
          <w:rFonts w:ascii="楷体" w:hAnsi="楷体" w:eastAsia="楷体"/>
          <w:sz w:val="28"/>
          <w:szCs w:val="28"/>
        </w:rPr>
      </w:pPr>
      <w:r>
        <w:rPr>
          <w:rFonts w:ascii="楷体" w:hAnsi="楷体" w:eastAsia="楷体"/>
          <w:sz w:val="28"/>
          <w:szCs w:val="28"/>
        </w:rPr>
        <w:t>受理部门：</w:t>
      </w:r>
      <w:r>
        <w:rPr>
          <w:rFonts w:hint="eastAsia" w:ascii="楷体" w:hAnsi="楷体" w:eastAsia="楷体"/>
          <w:sz w:val="28"/>
          <w:szCs w:val="28"/>
        </w:rPr>
        <w:t>鲜生活冷链审计监察部</w:t>
      </w:r>
    </w:p>
    <w:p>
      <w:pPr>
        <w:spacing w:line="580" w:lineRule="exact"/>
        <w:ind w:firstLine="560" w:firstLineChars="200"/>
        <w:rPr>
          <w:rFonts w:ascii="楷体" w:hAnsi="楷体" w:eastAsia="楷体"/>
          <w:sz w:val="28"/>
          <w:szCs w:val="28"/>
        </w:rPr>
      </w:pPr>
      <w:r>
        <w:rPr>
          <w:rFonts w:hint="eastAsia" w:ascii="楷体" w:hAnsi="楷体" w:eastAsia="楷体"/>
          <w:sz w:val="28"/>
          <w:szCs w:val="28"/>
        </w:rPr>
        <w:t>举报电话：</w:t>
      </w:r>
      <w:r>
        <w:rPr>
          <w:rFonts w:ascii="楷体" w:hAnsi="楷体" w:eastAsia="楷体"/>
          <w:sz w:val="28"/>
          <w:szCs w:val="28"/>
        </w:rPr>
        <w:t>18224432600</w:t>
      </w:r>
    </w:p>
    <w:p>
      <w:pPr>
        <w:spacing w:line="580" w:lineRule="exact"/>
        <w:ind w:firstLine="560" w:firstLineChars="200"/>
        <w:rPr>
          <w:rFonts w:ascii="楷体" w:hAnsi="楷体" w:eastAsia="楷体"/>
          <w:sz w:val="28"/>
          <w:szCs w:val="28"/>
        </w:rPr>
      </w:pPr>
      <w:r>
        <w:rPr>
          <w:rFonts w:hint="eastAsia" w:ascii="楷体" w:hAnsi="楷体" w:eastAsia="楷体"/>
          <w:sz w:val="28"/>
          <w:szCs w:val="28"/>
        </w:rPr>
        <w:t>举报邮箱：</w:t>
      </w:r>
      <w:r>
        <w:fldChar w:fldCharType="begin"/>
      </w:r>
      <w:r>
        <w:instrText xml:space="preserve"> HYPERLINK "mailto:jiancha@newhope.cn" </w:instrText>
      </w:r>
      <w:r>
        <w:fldChar w:fldCharType="separate"/>
      </w:r>
      <w:r>
        <w:rPr>
          <w:rFonts w:ascii="楷体" w:hAnsi="楷体" w:eastAsia="楷体"/>
          <w:sz w:val="28"/>
          <w:szCs w:val="28"/>
        </w:rPr>
        <w:t>jiancha@newhope.cn</w:t>
      </w:r>
      <w:r>
        <w:rPr>
          <w:rFonts w:ascii="楷体" w:hAnsi="楷体" w:eastAsia="楷体"/>
          <w:sz w:val="28"/>
          <w:szCs w:val="28"/>
        </w:rPr>
        <w:fldChar w:fldCharType="end"/>
      </w:r>
    </w:p>
    <w:p>
      <w:pPr>
        <w:spacing w:line="580" w:lineRule="exact"/>
        <w:ind w:firstLine="560" w:firstLineChars="200"/>
        <w:rPr>
          <w:rFonts w:ascii="楷体" w:hAnsi="楷体" w:eastAsia="楷体"/>
          <w:sz w:val="28"/>
          <w:szCs w:val="28"/>
        </w:rPr>
      </w:pPr>
      <w:r>
        <w:rPr>
          <w:rFonts w:hint="eastAsia" w:ascii="楷体" w:hAnsi="楷体" w:eastAsia="楷体"/>
          <w:sz w:val="28"/>
          <w:szCs w:val="28"/>
        </w:rPr>
        <w:t>联系地址：四川省成都市锦江区三色路2</w:t>
      </w:r>
      <w:r>
        <w:rPr>
          <w:rFonts w:ascii="楷体" w:hAnsi="楷体" w:eastAsia="楷体"/>
          <w:sz w:val="28"/>
          <w:szCs w:val="28"/>
        </w:rPr>
        <w:t>09</w:t>
      </w:r>
      <w:r>
        <w:rPr>
          <w:rFonts w:hint="eastAsia" w:ascii="楷体" w:hAnsi="楷体" w:eastAsia="楷体"/>
          <w:sz w:val="28"/>
          <w:szCs w:val="28"/>
        </w:rPr>
        <w:t>号火炬动力港B区7栋，鲜生活冷链审计监察部，邮编6</w:t>
      </w:r>
      <w:r>
        <w:rPr>
          <w:rFonts w:ascii="楷体" w:hAnsi="楷体" w:eastAsia="楷体"/>
          <w:sz w:val="28"/>
          <w:szCs w:val="28"/>
        </w:rPr>
        <w:t>10000</w:t>
      </w:r>
      <w:r>
        <w:rPr>
          <w:rFonts w:hint="eastAsia" w:ascii="楷体" w:hAnsi="楷体" w:eastAsia="楷体"/>
          <w:sz w:val="28"/>
          <w:szCs w:val="28"/>
        </w:rPr>
        <w:t>。</w:t>
      </w:r>
    </w:p>
    <w:p>
      <w:pPr>
        <w:spacing w:line="360" w:lineRule="auto"/>
        <w:ind w:firstLine="480"/>
        <w:jc w:val="left"/>
        <w:rPr>
          <w:rFonts w:ascii="楷体" w:hAnsi="楷体" w:eastAsia="楷体"/>
          <w:sz w:val="28"/>
          <w:szCs w:val="28"/>
        </w:rPr>
      </w:pPr>
      <w:r>
        <w:rPr>
          <w:rFonts w:hint="eastAsia" w:ascii="楷体" w:hAnsi="楷体" w:eastAsia="楷体"/>
          <w:sz w:val="28"/>
          <w:szCs w:val="28"/>
        </w:rPr>
        <w:t>若我方对贵方工作人员向其索取不正当利益的行为（如索贿）不拒绝、不报告，并满足其要求的，则视同我方违反廉洁承诺，我方应根据本协议约定承担相应责任。</w:t>
      </w:r>
    </w:p>
    <w:p>
      <w:pPr>
        <w:spacing w:line="360" w:lineRule="auto"/>
        <w:ind w:firstLine="480"/>
        <w:jc w:val="left"/>
        <w:rPr>
          <w:rFonts w:ascii="楷体" w:hAnsi="楷体" w:eastAsia="楷体"/>
          <w:sz w:val="28"/>
          <w:szCs w:val="28"/>
        </w:rPr>
      </w:pPr>
      <w:r>
        <w:rPr>
          <w:rFonts w:hint="eastAsia" w:ascii="楷体" w:hAnsi="楷体" w:eastAsia="楷体"/>
          <w:sz w:val="28"/>
          <w:szCs w:val="28"/>
        </w:rPr>
        <w:t>6.我方应当确保其员工、雇员、其他工作人员亦履行上述承诺，如有违反的应当由我方承担全部责任。</w:t>
      </w:r>
    </w:p>
    <w:p>
      <w:pPr>
        <w:spacing w:line="360" w:lineRule="auto"/>
        <w:ind w:firstLine="480"/>
        <w:jc w:val="left"/>
        <w:rPr>
          <w:rFonts w:ascii="楷体" w:hAnsi="楷体" w:eastAsia="楷体"/>
          <w:sz w:val="28"/>
          <w:szCs w:val="28"/>
        </w:rPr>
      </w:pPr>
      <w:r>
        <w:rPr>
          <w:rFonts w:hint="eastAsia" w:ascii="楷体" w:hAnsi="楷体" w:eastAsia="楷体"/>
          <w:sz w:val="28"/>
          <w:szCs w:val="28"/>
        </w:rPr>
        <w:t>我方同意贵方有权对我方涉嫌违反上述任何廉洁承诺的行为进行调查并作出认定；如认定违规行为属实的，则不论对贵方是否造成实质性损害均构成我方的严重违约/违规，贵方有权选择要求我方承担以下部分或全部违约责任：</w:t>
      </w:r>
    </w:p>
    <w:p>
      <w:pPr>
        <w:spacing w:line="360" w:lineRule="auto"/>
        <w:ind w:firstLine="480"/>
        <w:jc w:val="left"/>
        <w:rPr>
          <w:rFonts w:ascii="楷体" w:hAnsi="楷体" w:eastAsia="楷体"/>
          <w:sz w:val="28"/>
          <w:szCs w:val="28"/>
        </w:rPr>
      </w:pPr>
      <w:r>
        <w:rPr>
          <w:rFonts w:hint="eastAsia" w:ascii="楷体" w:hAnsi="楷体" w:eastAsia="楷体"/>
          <w:sz w:val="28"/>
          <w:szCs w:val="28"/>
        </w:rPr>
        <w:t>（1）有权立即取消我方合作资格，单方解除与我方的任何合同或逐步终止与我方的商务合作（含原合同、贵我双方的其他合同、我方与贵方关联公司之间的合作合同），将我方列入黑名单，五年之内不合作，且无需承担任何违约责任；涉嫌违法犯罪的，移交司法机关处理。</w:t>
      </w:r>
    </w:p>
    <w:p>
      <w:pPr>
        <w:spacing w:line="360" w:lineRule="auto"/>
        <w:ind w:firstLine="480"/>
        <w:jc w:val="left"/>
        <w:rPr>
          <w:rFonts w:ascii="楷体" w:hAnsi="楷体" w:eastAsia="楷体"/>
          <w:sz w:val="28"/>
          <w:szCs w:val="28"/>
        </w:rPr>
      </w:pPr>
      <w:r>
        <w:rPr>
          <w:rFonts w:hint="eastAsia" w:ascii="楷体" w:hAnsi="楷体" w:eastAsia="楷体"/>
          <w:sz w:val="28"/>
          <w:szCs w:val="28"/>
        </w:rPr>
        <w:t>（2）我方承诺按照（a）我方提供或可获取不正当利益的3倍、（b）贵方实际损失、（c）原合同金额的20%或（d）</w:t>
      </w:r>
      <w:r>
        <w:rPr>
          <w:rFonts w:ascii="楷体" w:hAnsi="楷体" w:eastAsia="楷体"/>
          <w:sz w:val="28"/>
          <w:szCs w:val="28"/>
        </w:rPr>
        <w:t>100</w:t>
      </w:r>
      <w:r>
        <w:rPr>
          <w:rFonts w:hint="eastAsia" w:ascii="楷体" w:hAnsi="楷体" w:eastAsia="楷体"/>
          <w:sz w:val="28"/>
          <w:szCs w:val="28"/>
        </w:rPr>
        <w:t>万元（a、b、c、d四者取最高金额）向贵方支付违约金；除法律另有规定外，我方应向贵方返还已收取的不正当利益；贵方有权直接从任何应付款项、履约保证金中直接扣除上述费用。</w:t>
      </w:r>
    </w:p>
    <w:p>
      <w:pPr>
        <w:spacing w:line="360" w:lineRule="auto"/>
        <w:ind w:firstLine="480"/>
        <w:jc w:val="left"/>
        <w:rPr>
          <w:rFonts w:hint="eastAsia" w:ascii="楷体" w:hAnsi="楷体" w:eastAsia="楷体"/>
          <w:sz w:val="28"/>
          <w:szCs w:val="28"/>
        </w:rPr>
      </w:pPr>
      <w:r>
        <w:rPr>
          <w:rFonts w:hint="eastAsia" w:ascii="楷体" w:hAnsi="楷体" w:eastAsia="楷体"/>
          <w:sz w:val="28"/>
          <w:szCs w:val="28"/>
        </w:rPr>
        <w:t>（3）通过内部渠道、外部媒体、网络平台对我方的违约行为和处理进行公开通报。</w:t>
      </w:r>
    </w:p>
    <w:p>
      <w:pPr>
        <w:pStyle w:val="2"/>
        <w:rPr>
          <w:rFonts w:hint="eastAsia" w:ascii="楷体" w:hAnsi="楷体" w:eastAsia="楷体"/>
          <w:sz w:val="28"/>
          <w:szCs w:val="28"/>
        </w:rPr>
      </w:pPr>
    </w:p>
    <w:p>
      <w:pPr>
        <w:pStyle w:val="2"/>
        <w:rPr>
          <w:rFonts w:hint="eastAsia" w:ascii="楷体" w:hAnsi="楷体" w:eastAsia="楷体"/>
          <w:sz w:val="28"/>
          <w:szCs w:val="28"/>
        </w:rPr>
      </w:pPr>
    </w:p>
    <w:p>
      <w:pPr>
        <w:spacing w:line="360" w:lineRule="auto"/>
        <w:ind w:firstLine="480"/>
        <w:jc w:val="left"/>
        <w:rPr>
          <w:rFonts w:ascii="楷体" w:hAnsi="楷体" w:eastAsia="楷体"/>
          <w:sz w:val="28"/>
          <w:szCs w:val="28"/>
        </w:rPr>
      </w:pPr>
    </w:p>
    <w:p>
      <w:pPr>
        <w:spacing w:line="360" w:lineRule="auto"/>
        <w:ind w:firstLine="480"/>
        <w:jc w:val="left"/>
        <w:rPr>
          <w:rFonts w:ascii="楷体" w:hAnsi="楷体" w:eastAsia="楷体"/>
          <w:sz w:val="28"/>
          <w:szCs w:val="28"/>
        </w:rPr>
      </w:pPr>
      <w:r>
        <w:rPr>
          <w:rFonts w:hint="eastAsia" w:ascii="楷体" w:hAnsi="楷体" w:eastAsia="楷体"/>
          <w:sz w:val="28"/>
          <w:szCs w:val="28"/>
        </w:rPr>
        <w:t xml:space="preserve">                                      承诺人（盖章）：</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附件4：</w:t>
      </w:r>
    </w:p>
    <w:p>
      <w:pPr>
        <w:jc w:val="center"/>
        <w:rPr>
          <w:rFonts w:ascii="楷体" w:hAnsi="楷体" w:eastAsia="楷体"/>
          <w:b/>
          <w:bCs/>
          <w:sz w:val="36"/>
          <w:szCs w:val="36"/>
        </w:rPr>
      </w:pPr>
      <w:r>
        <w:rPr>
          <w:rFonts w:hint="eastAsia" w:ascii="楷体" w:hAnsi="楷体" w:eastAsia="楷体"/>
          <w:b/>
          <w:bCs/>
          <w:sz w:val="36"/>
          <w:szCs w:val="36"/>
        </w:rPr>
        <w:t>服务承诺书</w:t>
      </w:r>
    </w:p>
    <w:p>
      <w:pPr>
        <w:spacing w:line="360" w:lineRule="auto"/>
        <w:jc w:val="left"/>
        <w:rPr>
          <w:rFonts w:hint="eastAsia" w:ascii="楷体" w:hAnsi="楷体" w:eastAsia="楷体"/>
          <w:sz w:val="28"/>
          <w:szCs w:val="28"/>
        </w:rPr>
      </w:pPr>
    </w:p>
    <w:p>
      <w:pPr>
        <w:spacing w:line="360" w:lineRule="auto"/>
        <w:jc w:val="left"/>
        <w:rPr>
          <w:rFonts w:ascii="楷体" w:hAnsi="楷体" w:eastAsia="楷体"/>
          <w:sz w:val="28"/>
          <w:szCs w:val="28"/>
        </w:rPr>
      </w:pPr>
      <w:r>
        <w:rPr>
          <w:rFonts w:hint="eastAsia" w:ascii="楷体" w:hAnsi="楷体" w:eastAsia="楷体"/>
          <w:sz w:val="28"/>
          <w:szCs w:val="28"/>
        </w:rPr>
        <w:t>致</w:t>
      </w:r>
      <w:r>
        <w:rPr>
          <w:rFonts w:hint="eastAsia" w:ascii="楷体" w:hAnsi="楷体" w:eastAsia="楷体"/>
          <w:sz w:val="28"/>
          <w:szCs w:val="28"/>
          <w:u w:val="single"/>
          <w:lang w:val="en-US" w:eastAsia="zh-CN"/>
        </w:rPr>
        <w:t xml:space="preserve">                      </w:t>
      </w:r>
      <w:r>
        <w:rPr>
          <w:rFonts w:hint="eastAsia" w:ascii="楷体" w:hAnsi="楷体" w:eastAsia="楷体"/>
          <w:sz w:val="28"/>
          <w:szCs w:val="28"/>
        </w:rPr>
        <w:t>：</w:t>
      </w:r>
    </w:p>
    <w:p>
      <w:pPr>
        <w:spacing w:line="360" w:lineRule="auto"/>
        <w:ind w:firstLine="480"/>
        <w:jc w:val="left"/>
        <w:rPr>
          <w:rFonts w:ascii="楷体" w:hAnsi="楷体" w:eastAsia="楷体"/>
          <w:sz w:val="28"/>
          <w:szCs w:val="28"/>
        </w:rPr>
      </w:pPr>
      <w:r>
        <w:rPr>
          <w:rFonts w:hint="eastAsia" w:ascii="楷体" w:hAnsi="楷体" w:eastAsia="楷体"/>
          <w:sz w:val="28"/>
          <w:szCs w:val="28"/>
        </w:rPr>
        <w:t>为提升服务品质、保障货物安全，我方同意从</w:t>
      </w:r>
      <w:r>
        <w:rPr>
          <w:rFonts w:hint="eastAsia" w:ascii="楷体" w:hAnsi="楷体" w:eastAsia="楷体"/>
          <w:sz w:val="28"/>
          <w:szCs w:val="28"/>
          <w:lang w:val="en-US" w:eastAsia="zh-CN"/>
        </w:rPr>
        <w:t>2025</w:t>
      </w:r>
      <w:r>
        <w:rPr>
          <w:rFonts w:hint="eastAsia" w:ascii="楷体" w:hAnsi="楷体" w:eastAsia="楷体"/>
          <w:sz w:val="28"/>
          <w:szCs w:val="28"/>
        </w:rPr>
        <w:t>年</w:t>
      </w:r>
      <w:r>
        <w:rPr>
          <w:rFonts w:hint="eastAsia" w:ascii="楷体" w:hAnsi="楷体" w:eastAsia="楷体"/>
          <w:sz w:val="28"/>
          <w:szCs w:val="28"/>
          <w:lang w:val="en-US" w:eastAsia="zh-CN"/>
        </w:rPr>
        <w:t xml:space="preserve"> </w:t>
      </w:r>
      <w:r>
        <w:rPr>
          <w:rFonts w:hint="eastAsia" w:ascii="楷体" w:hAnsi="楷体" w:eastAsia="楷体"/>
          <w:sz w:val="28"/>
          <w:szCs w:val="28"/>
        </w:rPr>
        <w:t>月</w:t>
      </w:r>
      <w:r>
        <w:rPr>
          <w:rFonts w:hint="eastAsia" w:ascii="楷体" w:hAnsi="楷体" w:eastAsia="楷体"/>
          <w:sz w:val="28"/>
          <w:szCs w:val="28"/>
          <w:lang w:val="en-US" w:eastAsia="zh-CN"/>
        </w:rPr>
        <w:t xml:space="preserve"> </w:t>
      </w:r>
      <w:r>
        <w:rPr>
          <w:rFonts w:hint="eastAsia" w:ascii="楷体" w:hAnsi="楷体" w:eastAsia="楷体"/>
          <w:sz w:val="28"/>
          <w:szCs w:val="28"/>
        </w:rPr>
        <w:t>日起，在与贵方(包含</w:t>
      </w:r>
      <w:r>
        <w:rPr>
          <w:rFonts w:hint="eastAsia" w:ascii="楷体" w:hAnsi="楷体" w:eastAsia="楷体"/>
          <w:sz w:val="28"/>
          <w:szCs w:val="28"/>
          <w:u w:val="single"/>
          <w:lang w:val="en-US" w:eastAsia="zh-CN"/>
        </w:rPr>
        <w:t xml:space="preserve">                       </w:t>
      </w:r>
      <w:r>
        <w:rPr>
          <w:rFonts w:hint="eastAsia" w:ascii="楷体" w:hAnsi="楷体" w:eastAsia="楷体"/>
          <w:sz w:val="28"/>
          <w:szCs w:val="28"/>
        </w:rPr>
        <w:t>及其母公司、分子公司、同一实际控制人下的其他公司等关联公司）进行任何商务合作过程中均需遵守以下服务承诺并承担相应责任。</w:t>
      </w:r>
    </w:p>
    <w:p>
      <w:pPr>
        <w:ind w:firstLine="562" w:firstLineChars="200"/>
        <w:rPr>
          <w:rFonts w:ascii="楷体" w:hAnsi="楷体" w:eastAsia="楷体"/>
          <w:b/>
          <w:bCs/>
          <w:sz w:val="28"/>
          <w:szCs w:val="28"/>
        </w:rPr>
      </w:pPr>
      <w:r>
        <w:rPr>
          <w:rFonts w:hint="eastAsia" w:ascii="楷体" w:hAnsi="楷体" w:eastAsia="楷体"/>
          <w:b/>
          <w:bCs/>
          <w:sz w:val="28"/>
          <w:szCs w:val="28"/>
        </w:rPr>
        <w:t>一、以运荔枝系统数据作为唯一结算依据</w:t>
      </w:r>
    </w:p>
    <w:p>
      <w:pPr>
        <w:numPr>
          <w:ilvl w:val="0"/>
          <w:numId w:val="2"/>
        </w:numPr>
        <w:spacing w:line="570" w:lineRule="exact"/>
        <w:ind w:firstLine="560" w:firstLineChars="200"/>
        <w:contextualSpacing/>
        <w:rPr>
          <w:rFonts w:ascii="楷体" w:hAnsi="楷体" w:eastAsia="楷体"/>
          <w:sz w:val="28"/>
          <w:szCs w:val="28"/>
          <w:highlight w:val="none"/>
        </w:rPr>
      </w:pPr>
      <w:r>
        <w:rPr>
          <w:rFonts w:hint="eastAsia" w:ascii="楷体" w:hAnsi="楷体" w:eastAsia="楷体"/>
          <w:sz w:val="28"/>
          <w:szCs w:val="28"/>
        </w:rPr>
        <w:t>我方承诺将遵照与贵方签署的各项服务合同，规范操作运荔枝系统，并承诺严格按照运荔枝系统派发的订单进行派车。若我方未接收到系统订单而派车的行为；或我方未使用运荔枝系统进行各项系统操作，贵方都有权不予结算相应服务费用。未如实操作系统记录的数据相应处罚100元/条</w:t>
      </w:r>
      <w:r>
        <w:rPr>
          <w:rFonts w:hint="eastAsia" w:ascii="楷体" w:hAnsi="楷体" w:eastAsia="楷体"/>
          <w:sz w:val="28"/>
          <w:szCs w:val="28"/>
          <w:lang w:eastAsia="zh-CN"/>
        </w:rPr>
        <w:t>；</w:t>
      </w:r>
      <w:r>
        <w:rPr>
          <w:rFonts w:hint="eastAsia" w:ascii="楷体" w:hAnsi="楷体" w:eastAsia="楷体"/>
          <w:sz w:val="28"/>
          <w:szCs w:val="28"/>
          <w:highlight w:val="none"/>
          <w:lang w:val="en-US" w:eastAsia="zh-CN"/>
        </w:rPr>
        <w:t>因多次发生系统操作异常，需要运荔枝额外进行培训的，缴纳1000元/小时课时费。</w:t>
      </w:r>
    </w:p>
    <w:p>
      <w:pPr>
        <w:spacing w:line="570" w:lineRule="exact"/>
        <w:ind w:firstLine="560" w:firstLineChars="200"/>
        <w:contextualSpacing/>
        <w:rPr>
          <w:rFonts w:ascii="楷体" w:hAnsi="楷体" w:eastAsia="楷体"/>
          <w:sz w:val="28"/>
          <w:szCs w:val="28"/>
        </w:rPr>
      </w:pPr>
      <w:r>
        <w:rPr>
          <w:rFonts w:hint="eastAsia" w:ascii="楷体" w:hAnsi="楷体" w:eastAsia="楷体"/>
          <w:sz w:val="28"/>
          <w:szCs w:val="28"/>
        </w:rPr>
        <w:t>2、我方承诺在贵方运荔枝系统的操作记录及全部信息真实、合法、准确，我方将以贵方运荔枝系统数据作为与我方结算的唯一依据，如若有差异需按照系统应收和实际应付存在差异金额的5%进行处罚；我方承接的服务项目，经各项单据核对无误后，与运荔枝系统数据进行复核，数据一致后方可进行服务费结算。</w:t>
      </w:r>
    </w:p>
    <w:p>
      <w:pPr>
        <w:spacing w:line="570" w:lineRule="exact"/>
        <w:ind w:firstLine="562" w:firstLineChars="200"/>
        <w:contextualSpacing/>
        <w:rPr>
          <w:rFonts w:ascii="楷体" w:hAnsi="楷体" w:eastAsia="楷体"/>
          <w:b/>
          <w:bCs/>
          <w:sz w:val="28"/>
          <w:szCs w:val="28"/>
        </w:rPr>
      </w:pPr>
      <w:r>
        <w:rPr>
          <w:rFonts w:hint="eastAsia" w:ascii="楷体" w:hAnsi="楷体" w:eastAsia="楷体"/>
          <w:b/>
          <w:bCs/>
          <w:sz w:val="28"/>
          <w:szCs w:val="28"/>
        </w:rPr>
        <w:t>二、结算承诺</w:t>
      </w:r>
    </w:p>
    <w:p>
      <w:pPr>
        <w:spacing w:line="570" w:lineRule="exact"/>
        <w:ind w:firstLine="560" w:firstLineChars="200"/>
        <w:contextualSpacing/>
        <w:rPr>
          <w:rFonts w:ascii="楷体" w:hAnsi="楷体" w:eastAsia="楷体"/>
          <w:sz w:val="28"/>
          <w:szCs w:val="28"/>
        </w:rPr>
      </w:pPr>
      <w:r>
        <w:rPr>
          <w:rFonts w:ascii="楷体" w:hAnsi="楷体" w:eastAsia="楷体"/>
          <w:sz w:val="28"/>
          <w:szCs w:val="28"/>
        </w:rPr>
        <w:t>1.我方在向贵方提供服务（或与提供服务相关）的过程中，若发生欠薪、欠款以及其他违法行为，或因我方发生内部经济纠纷等我方原因，导致我方人员或者我方的关联公司、下游承运人、合作伙伴及其人员等发生其他影响贵方或贵方客户正常生产经营秩序的行为（包括但不限于堵门、罢工、拉横幅、车辆到位后封堵、挤占车位、要求贵方支付费用等行为），我方须在3日内处理完毕相关异常，且因此而产生的各客户投诉、理赔、罚款等各项损失，全部由我方承担。如我方未在3日内处理完毕相关异常，或情节恶劣的，我方认可将贵方未支付给我方的剩余运费（含已发生但</w:t>
      </w:r>
      <w:r>
        <w:rPr>
          <w:rFonts w:hint="eastAsia" w:ascii="楷体" w:hAnsi="楷体" w:eastAsia="楷体"/>
          <w:sz w:val="28"/>
          <w:szCs w:val="28"/>
        </w:rPr>
        <w:t>结算期未满的运费）全部或部分无条件转让给贵方，直接由贵方依据我方人员、下游承运人或承运人关联人员（含司机、亲友等）、其他第三人（简称“上述人员”）单方主张的债权金额，在上述债权金额范围内向上述人员支付相关费用，该费用直接从贵方应付我方运费中扣除，运费不足抵扣的，我方应在</w:t>
      </w:r>
      <w:r>
        <w:rPr>
          <w:rFonts w:ascii="楷体" w:hAnsi="楷体" w:eastAsia="楷体"/>
          <w:sz w:val="28"/>
          <w:szCs w:val="28"/>
        </w:rPr>
        <w:t>3日内予以补足。</w:t>
      </w:r>
    </w:p>
    <w:p>
      <w:pPr>
        <w:spacing w:line="570" w:lineRule="exact"/>
        <w:ind w:firstLine="560" w:firstLineChars="200"/>
        <w:contextualSpacing/>
        <w:rPr>
          <w:rFonts w:ascii="楷体" w:hAnsi="楷体" w:eastAsia="楷体"/>
          <w:sz w:val="28"/>
          <w:szCs w:val="28"/>
        </w:rPr>
      </w:pPr>
      <w:r>
        <w:rPr>
          <w:rFonts w:ascii="楷体" w:hAnsi="楷体" w:eastAsia="楷体"/>
          <w:sz w:val="28"/>
          <w:szCs w:val="28"/>
        </w:rPr>
        <w:t>2.我方人员、下游承运人或承运人关联人员发生影响甲方或甲方客户正常生产经营秩序的行为，贵方有权要求我方承担违约责任，违约金 5万元/次，如该违约金不足以弥补贵方及贵方客户损失的，贵方有权继续向我方追偿。</w:t>
      </w:r>
    </w:p>
    <w:p>
      <w:pPr>
        <w:spacing w:line="570" w:lineRule="exact"/>
        <w:ind w:firstLine="562" w:firstLineChars="200"/>
        <w:contextualSpacing/>
        <w:rPr>
          <w:rFonts w:ascii="楷体" w:hAnsi="楷体" w:eastAsia="楷体"/>
          <w:b/>
          <w:bCs/>
          <w:sz w:val="28"/>
          <w:szCs w:val="28"/>
        </w:rPr>
      </w:pPr>
      <w:r>
        <w:rPr>
          <w:rFonts w:hint="eastAsia" w:ascii="楷体" w:hAnsi="楷体" w:eastAsia="楷体"/>
          <w:b/>
          <w:bCs/>
          <w:sz w:val="28"/>
          <w:szCs w:val="28"/>
        </w:rPr>
        <w:t>三、竞业承诺</w:t>
      </w:r>
    </w:p>
    <w:p>
      <w:pPr>
        <w:spacing w:line="570" w:lineRule="exact"/>
        <w:ind w:firstLine="560" w:firstLineChars="200"/>
        <w:contextualSpacing/>
        <w:rPr>
          <w:rFonts w:ascii="楷体" w:hAnsi="楷体" w:eastAsia="楷体"/>
          <w:sz w:val="28"/>
          <w:szCs w:val="28"/>
        </w:rPr>
      </w:pPr>
      <w:r>
        <w:rPr>
          <w:rFonts w:hint="eastAsia" w:ascii="楷体" w:hAnsi="楷体" w:eastAsia="楷体"/>
          <w:sz w:val="28"/>
          <w:szCs w:val="28"/>
        </w:rPr>
        <w:t>我方保证从为贵方提供服务开始到所有合作结束后的一年内，我方将不会与贵方客户直接或间接发生业务关系。一经发现，我方承诺将按照贵我双方过去一年的业务总量含运费在内的服务费用总额的</w:t>
      </w:r>
      <w:r>
        <w:rPr>
          <w:rFonts w:ascii="楷体" w:hAnsi="楷体" w:eastAsia="楷体"/>
          <w:sz w:val="28"/>
          <w:szCs w:val="28"/>
        </w:rPr>
        <w:t>30%向贵方支付违约金作为补偿(如双方的合同执行/业务合作尚未满一年，则按照已经发生的每月业务平均值计算过去一年的业务总量及总服务费用)。</w:t>
      </w:r>
    </w:p>
    <w:p>
      <w:pPr>
        <w:spacing w:line="570" w:lineRule="exact"/>
        <w:ind w:firstLine="562" w:firstLineChars="200"/>
        <w:contextualSpacing/>
        <w:rPr>
          <w:rFonts w:ascii="楷体" w:hAnsi="楷体" w:eastAsia="楷体"/>
          <w:b/>
          <w:bCs/>
          <w:sz w:val="28"/>
          <w:szCs w:val="28"/>
        </w:rPr>
      </w:pPr>
      <w:r>
        <w:rPr>
          <w:rFonts w:hint="eastAsia" w:ascii="楷体" w:hAnsi="楷体" w:eastAsia="楷体"/>
          <w:b/>
          <w:bCs/>
          <w:sz w:val="28"/>
          <w:szCs w:val="28"/>
        </w:rPr>
        <w:t>四、运能承诺</w:t>
      </w:r>
    </w:p>
    <w:p>
      <w:pPr>
        <w:spacing w:line="570" w:lineRule="exact"/>
        <w:ind w:firstLine="560" w:firstLineChars="200"/>
        <w:contextualSpacing/>
        <w:rPr>
          <w:rFonts w:ascii="楷体" w:hAnsi="楷体" w:eastAsia="楷体"/>
          <w:sz w:val="28"/>
          <w:szCs w:val="28"/>
        </w:rPr>
      </w:pPr>
      <w:r>
        <w:rPr>
          <w:rFonts w:ascii="楷体" w:hAnsi="楷体" w:eastAsia="楷体"/>
          <w:sz w:val="28"/>
          <w:szCs w:val="28"/>
        </w:rPr>
        <w:t>1</w:t>
      </w:r>
      <w:r>
        <w:rPr>
          <w:rFonts w:hint="eastAsia" w:ascii="楷体" w:hAnsi="楷体" w:eastAsia="楷体"/>
          <w:sz w:val="28"/>
          <w:szCs w:val="28"/>
        </w:rPr>
        <w:t>、我方应配置足额、固定的主备用车辆与司机，保障运输线路在合同期内的运力持续与稳定。因我方原因无车辆执行合同线路运输的，我方应当向贵方支付当趟运费1.5倍的违约金。</w:t>
      </w:r>
    </w:p>
    <w:p>
      <w:pPr>
        <w:spacing w:line="570" w:lineRule="exact"/>
        <w:ind w:firstLine="560" w:firstLineChars="200"/>
        <w:contextualSpacing/>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当合作线路车辆在运输过程中发生故障、交通事故或其他异常事件无法继续行驶时，我方应当在30分钟内向贵方相关负责人报告事件情况及对货物运输的影响范围，并在贵方可接受的时效范围内，派出应急车辆执行剩余路段的运输。未对货物时效、温度与安全造成影响的，给予免责；影响货物时效的和货物安全的，产生的赔款及罚款由我方承担。</w:t>
      </w:r>
    </w:p>
    <w:p>
      <w:pPr>
        <w:spacing w:line="570" w:lineRule="exact"/>
        <w:ind w:firstLine="560" w:firstLineChars="200"/>
        <w:contextualSpacing/>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当发生第四条第1、2款事件，我方没有派出应急车辆导致贵方调车完成运输的情况，贵方协助寻找到临时三方运力支持，我方应承担贵方的调车成本，且调车成本产生的当趟运费差价，影响货物时效的，产生的赔款及罚款都由我方承担。</w:t>
      </w:r>
    </w:p>
    <w:p>
      <w:pPr>
        <w:spacing w:line="570" w:lineRule="exact"/>
        <w:ind w:firstLine="562" w:firstLineChars="200"/>
        <w:contextualSpacing/>
        <w:rPr>
          <w:rFonts w:ascii="楷体" w:hAnsi="楷体" w:eastAsia="楷体"/>
          <w:b/>
          <w:bCs/>
          <w:sz w:val="28"/>
          <w:szCs w:val="28"/>
        </w:rPr>
      </w:pPr>
      <w:r>
        <w:rPr>
          <w:rFonts w:hint="eastAsia" w:ascii="楷体" w:hAnsi="楷体" w:eastAsia="楷体"/>
          <w:b/>
          <w:bCs/>
          <w:sz w:val="28"/>
          <w:szCs w:val="28"/>
        </w:rPr>
        <w:t>五、安全承诺</w:t>
      </w:r>
    </w:p>
    <w:p>
      <w:pPr>
        <w:spacing w:line="570" w:lineRule="exact"/>
        <w:ind w:firstLine="560" w:firstLineChars="200"/>
        <w:contextualSpacing/>
        <w:rPr>
          <w:rFonts w:ascii="楷体" w:hAnsi="楷体" w:eastAsia="楷体"/>
          <w:sz w:val="28"/>
          <w:szCs w:val="28"/>
        </w:rPr>
      </w:pPr>
      <w:r>
        <w:rPr>
          <w:rFonts w:hint="eastAsia" w:ascii="楷体" w:hAnsi="楷体" w:eastAsia="楷体"/>
          <w:sz w:val="28"/>
          <w:szCs w:val="28"/>
        </w:rPr>
        <w:t>1、我方将认真执行国家法律、法规、职业道德和岗位技能方面的学习和再培训，运输过程中不开“英雄车”，不得指使、强令车辆驾驶人超限运输货物，不得阻碍道路运输管理机构依法监督检查。车辆上路前应规范装载，车辆装载货物（包含车辆附件）掉落、遗撒、飘散后，车辆驾驶员需及时采取措施处理，造成他人人身、财产损害的，我方及该车驾驶人应当依法承担赔偿责任，特定岗位应具备资质的人员专业操作。</w:t>
      </w:r>
    </w:p>
    <w:p>
      <w:pPr>
        <w:spacing w:line="570" w:lineRule="exact"/>
        <w:ind w:firstLine="560" w:firstLineChars="200"/>
        <w:contextualSpacing/>
        <w:rPr>
          <w:rFonts w:ascii="楷体" w:hAnsi="楷体" w:eastAsia="楷体"/>
          <w:sz w:val="28"/>
          <w:szCs w:val="28"/>
        </w:rPr>
      </w:pPr>
      <w:r>
        <w:rPr>
          <w:rFonts w:hint="eastAsia" w:ascii="楷体" w:hAnsi="楷体" w:eastAsia="楷体"/>
          <w:sz w:val="28"/>
          <w:szCs w:val="28"/>
        </w:rPr>
        <w:t>2、我方进入作业现场的车辆必须手续齐全完备。保证车辆的完好率，禁止带病行驶、超速行驶、超载行驶，严禁无证驾驶、酒后驾驶。</w:t>
      </w:r>
    </w:p>
    <w:p>
      <w:pPr>
        <w:spacing w:line="570" w:lineRule="exact"/>
        <w:ind w:firstLine="560" w:firstLineChars="200"/>
        <w:contextualSpacing/>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、我方车辆在转弯或过路口时，要注意来往车辆和行人。要做到一停、二看、三通过。</w:t>
      </w:r>
    </w:p>
    <w:p>
      <w:pPr>
        <w:spacing w:line="570" w:lineRule="exact"/>
        <w:ind w:firstLine="560" w:firstLineChars="200"/>
        <w:contextualSpacing/>
        <w:rPr>
          <w:rFonts w:ascii="楷体" w:hAnsi="楷体" w:eastAsia="楷体"/>
          <w:sz w:val="28"/>
          <w:szCs w:val="28"/>
        </w:rPr>
      </w:pPr>
      <w:r>
        <w:rPr>
          <w:rFonts w:hint="eastAsia" w:ascii="楷体" w:hAnsi="楷体" w:eastAsia="楷体"/>
          <w:sz w:val="28"/>
          <w:szCs w:val="28"/>
        </w:rPr>
        <w:t>4、我方在车辆行车时要注意安全，注意来往车辆和行人，礼让三先，遵章驾驶。</w:t>
      </w:r>
    </w:p>
    <w:p>
      <w:pPr>
        <w:spacing w:line="570" w:lineRule="exact"/>
        <w:ind w:firstLine="560" w:firstLineChars="200"/>
        <w:contextualSpacing/>
        <w:rPr>
          <w:rFonts w:ascii="楷体" w:hAnsi="楷体" w:eastAsia="楷体"/>
          <w:sz w:val="28"/>
          <w:szCs w:val="28"/>
        </w:rPr>
      </w:pPr>
      <w:r>
        <w:rPr>
          <w:rFonts w:hint="eastAsia" w:ascii="楷体" w:hAnsi="楷体" w:eastAsia="楷体"/>
          <w:sz w:val="28"/>
          <w:szCs w:val="28"/>
        </w:rPr>
        <w:t>5、我方在作业中所发生的一切车辆损害及一切人身伤亡事故，所造成的经济损失，贵方概不负责，一切后果由我方承担。</w:t>
      </w:r>
    </w:p>
    <w:p>
      <w:pPr>
        <w:spacing w:line="570" w:lineRule="exact"/>
        <w:ind w:firstLine="560" w:firstLineChars="200"/>
        <w:contextualSpacing/>
        <w:rPr>
          <w:rFonts w:ascii="楷体" w:hAnsi="楷体" w:eastAsia="楷体"/>
          <w:sz w:val="28"/>
          <w:szCs w:val="28"/>
        </w:rPr>
      </w:pPr>
      <w:r>
        <w:rPr>
          <w:rFonts w:ascii="楷体" w:hAnsi="楷体" w:eastAsia="楷体"/>
          <w:sz w:val="28"/>
          <w:szCs w:val="28"/>
        </w:rPr>
        <w:t>6</w:t>
      </w:r>
      <w:r>
        <w:rPr>
          <w:rFonts w:hint="eastAsia" w:ascii="楷体" w:hAnsi="楷体" w:eastAsia="楷体"/>
          <w:sz w:val="28"/>
          <w:szCs w:val="28"/>
        </w:rPr>
        <w:t>、以上规定我方自愿履行。</w:t>
      </w:r>
    </w:p>
    <w:p>
      <w:pPr>
        <w:spacing w:line="570" w:lineRule="exact"/>
        <w:ind w:firstLine="562" w:firstLineChars="200"/>
        <w:contextualSpacing/>
        <w:rPr>
          <w:rFonts w:ascii="楷体" w:hAnsi="楷体" w:eastAsia="楷体"/>
          <w:b/>
          <w:bCs/>
          <w:sz w:val="28"/>
          <w:szCs w:val="28"/>
        </w:rPr>
      </w:pPr>
      <w:r>
        <w:rPr>
          <w:rFonts w:hint="eastAsia" w:ascii="楷体" w:hAnsi="楷体" w:eastAsia="楷体"/>
          <w:b/>
          <w:bCs/>
          <w:sz w:val="28"/>
          <w:szCs w:val="28"/>
        </w:rPr>
        <w:t>六、责任承担</w:t>
      </w:r>
    </w:p>
    <w:p>
      <w:pPr>
        <w:spacing w:line="570" w:lineRule="exact"/>
        <w:ind w:firstLine="560" w:firstLineChars="200"/>
        <w:contextualSpacing/>
        <w:rPr>
          <w:rFonts w:ascii="楷体" w:hAnsi="楷体" w:eastAsia="楷体"/>
          <w:sz w:val="28"/>
          <w:szCs w:val="28"/>
        </w:rPr>
      </w:pPr>
      <w:r>
        <w:rPr>
          <w:rFonts w:hint="eastAsia" w:ascii="楷体" w:hAnsi="楷体" w:eastAsia="楷体"/>
          <w:sz w:val="28"/>
          <w:szCs w:val="28"/>
        </w:rPr>
        <w:t>我方</w:t>
      </w:r>
      <w:r>
        <w:rPr>
          <w:rFonts w:ascii="楷体" w:hAnsi="楷体" w:eastAsia="楷体"/>
          <w:sz w:val="28"/>
          <w:szCs w:val="28"/>
        </w:rPr>
        <w:t>已经完全</w:t>
      </w:r>
      <w:r>
        <w:rPr>
          <w:rFonts w:hint="eastAsia" w:ascii="楷体" w:hAnsi="楷体" w:eastAsia="楷体"/>
          <w:sz w:val="28"/>
          <w:szCs w:val="28"/>
        </w:rPr>
        <w:t>熟知</w:t>
      </w:r>
      <w:r>
        <w:rPr>
          <w:rFonts w:ascii="楷体" w:hAnsi="楷体" w:eastAsia="楷体"/>
          <w:sz w:val="28"/>
          <w:szCs w:val="28"/>
        </w:rPr>
        <w:t>贵方业务要求</w:t>
      </w:r>
      <w:r>
        <w:rPr>
          <w:rFonts w:hint="eastAsia" w:ascii="楷体" w:hAnsi="楷体" w:eastAsia="楷体"/>
          <w:sz w:val="28"/>
          <w:szCs w:val="28"/>
        </w:rPr>
        <w:t>，</w:t>
      </w:r>
      <w:r>
        <w:rPr>
          <w:rFonts w:ascii="楷体" w:hAnsi="楷体" w:eastAsia="楷体"/>
          <w:sz w:val="28"/>
          <w:szCs w:val="28"/>
        </w:rPr>
        <w:t>在</w:t>
      </w:r>
      <w:r>
        <w:rPr>
          <w:rFonts w:hint="eastAsia" w:ascii="楷体" w:hAnsi="楷体" w:eastAsia="楷体"/>
          <w:sz w:val="28"/>
          <w:szCs w:val="28"/>
        </w:rPr>
        <w:t>合作</w:t>
      </w:r>
      <w:r>
        <w:rPr>
          <w:rFonts w:ascii="楷体" w:hAnsi="楷体" w:eastAsia="楷体"/>
          <w:sz w:val="28"/>
          <w:szCs w:val="28"/>
        </w:rPr>
        <w:t>过程</w:t>
      </w:r>
      <w:r>
        <w:rPr>
          <w:rFonts w:hint="eastAsia" w:ascii="楷体" w:hAnsi="楷体" w:eastAsia="楷体"/>
          <w:sz w:val="28"/>
          <w:szCs w:val="28"/>
        </w:rPr>
        <w:t>中</w:t>
      </w:r>
      <w:r>
        <w:rPr>
          <w:rFonts w:ascii="楷体" w:hAnsi="楷体" w:eastAsia="楷体"/>
          <w:sz w:val="28"/>
          <w:szCs w:val="28"/>
        </w:rPr>
        <w:t>，</w:t>
      </w:r>
      <w:r>
        <w:rPr>
          <w:rFonts w:hint="eastAsia" w:ascii="楷体" w:hAnsi="楷体" w:eastAsia="楷体"/>
          <w:sz w:val="28"/>
          <w:szCs w:val="28"/>
        </w:rPr>
        <w:t>由于</w:t>
      </w:r>
      <w:r>
        <w:rPr>
          <w:rFonts w:ascii="楷体" w:hAnsi="楷体" w:eastAsia="楷体"/>
          <w:sz w:val="28"/>
          <w:szCs w:val="28"/>
        </w:rPr>
        <w:t>我方</w:t>
      </w:r>
      <w:r>
        <w:rPr>
          <w:rFonts w:hint="eastAsia" w:ascii="楷体" w:hAnsi="楷体" w:eastAsia="楷体"/>
          <w:sz w:val="28"/>
          <w:szCs w:val="28"/>
        </w:rPr>
        <w:t>原因</w:t>
      </w:r>
      <w:r>
        <w:rPr>
          <w:rFonts w:ascii="楷体" w:hAnsi="楷体" w:eastAsia="楷体"/>
          <w:sz w:val="28"/>
          <w:szCs w:val="28"/>
        </w:rPr>
        <w:t>导致</w:t>
      </w:r>
      <w:r>
        <w:rPr>
          <w:rFonts w:hint="eastAsia" w:ascii="楷体" w:hAnsi="楷体" w:eastAsia="楷体"/>
          <w:sz w:val="28"/>
          <w:szCs w:val="28"/>
        </w:rPr>
        <w:t>贵方受</w:t>
      </w:r>
      <w:r>
        <w:rPr>
          <w:rFonts w:ascii="楷体" w:hAnsi="楷体" w:eastAsia="楷体"/>
          <w:sz w:val="28"/>
          <w:szCs w:val="28"/>
        </w:rPr>
        <w:t>到</w:t>
      </w:r>
      <w:r>
        <w:rPr>
          <w:rFonts w:hint="eastAsia" w:ascii="楷体" w:hAnsi="楷体" w:eastAsia="楷体"/>
          <w:sz w:val="28"/>
          <w:szCs w:val="28"/>
        </w:rPr>
        <w:t>经济</w:t>
      </w:r>
      <w:r>
        <w:rPr>
          <w:rFonts w:ascii="楷体" w:hAnsi="楷体" w:eastAsia="楷体"/>
          <w:sz w:val="28"/>
          <w:szCs w:val="28"/>
        </w:rPr>
        <w:t>损失</w:t>
      </w:r>
      <w:r>
        <w:rPr>
          <w:rFonts w:hint="eastAsia" w:ascii="楷体" w:hAnsi="楷体" w:eastAsia="楷体"/>
          <w:sz w:val="28"/>
          <w:szCs w:val="28"/>
        </w:rPr>
        <w:t>、</w:t>
      </w:r>
      <w:r>
        <w:rPr>
          <w:rFonts w:ascii="楷体" w:hAnsi="楷体" w:eastAsia="楷体"/>
          <w:sz w:val="28"/>
          <w:szCs w:val="28"/>
        </w:rPr>
        <w:t>客户</w:t>
      </w:r>
      <w:r>
        <w:rPr>
          <w:rFonts w:hint="eastAsia" w:ascii="楷体" w:hAnsi="楷体" w:eastAsia="楷体"/>
          <w:sz w:val="28"/>
          <w:szCs w:val="28"/>
        </w:rPr>
        <w:t>投诉、货物受损、罚款等一切</w:t>
      </w:r>
      <w:r>
        <w:rPr>
          <w:rFonts w:ascii="楷体" w:hAnsi="楷体" w:eastAsia="楷体"/>
          <w:sz w:val="28"/>
          <w:szCs w:val="28"/>
        </w:rPr>
        <w:t>责任</w:t>
      </w:r>
      <w:r>
        <w:rPr>
          <w:rFonts w:hint="eastAsia" w:ascii="楷体" w:hAnsi="楷体" w:eastAsia="楷体"/>
          <w:sz w:val="28"/>
          <w:szCs w:val="28"/>
        </w:rPr>
        <w:t>均由</w:t>
      </w:r>
      <w:r>
        <w:rPr>
          <w:rFonts w:ascii="楷体" w:hAnsi="楷体" w:eastAsia="楷体"/>
          <w:sz w:val="28"/>
          <w:szCs w:val="28"/>
        </w:rPr>
        <w:t>我方承担</w:t>
      </w:r>
      <w:r>
        <w:rPr>
          <w:rFonts w:hint="eastAsia" w:ascii="楷体" w:hAnsi="楷体" w:eastAsia="楷体"/>
          <w:sz w:val="28"/>
          <w:szCs w:val="28"/>
        </w:rPr>
        <w:t>。</w:t>
      </w:r>
    </w:p>
    <w:p>
      <w:pPr>
        <w:jc w:val="right"/>
        <w:rPr>
          <w:rFonts w:hint="eastAsia" w:ascii="楷体" w:hAnsi="楷体" w:eastAsia="楷体"/>
          <w:sz w:val="28"/>
          <w:szCs w:val="28"/>
        </w:rPr>
      </w:pPr>
    </w:p>
    <w:p>
      <w:pPr>
        <w:jc w:val="right"/>
        <w:rPr>
          <w:rFonts w:hint="eastAsia" w:ascii="楷体" w:hAnsi="楷体" w:eastAsia="楷体"/>
          <w:sz w:val="28"/>
          <w:szCs w:val="28"/>
        </w:rPr>
      </w:pPr>
    </w:p>
    <w:p>
      <w:pPr>
        <w:jc w:val="right"/>
        <w:rPr>
          <w:rFonts w:hint="eastAsia" w:ascii="楷体" w:hAnsi="楷体" w:eastAsia="楷体"/>
          <w:sz w:val="28"/>
          <w:szCs w:val="28"/>
        </w:rPr>
      </w:pPr>
    </w:p>
    <w:p>
      <w:pPr>
        <w:jc w:val="right"/>
        <w:rPr>
          <w:rFonts w:ascii="楷体" w:hAnsi="楷体" w:eastAsia="楷体"/>
          <w:sz w:val="28"/>
          <w:szCs w:val="28"/>
        </w:rPr>
      </w:pPr>
      <w:r>
        <w:rPr>
          <w:rFonts w:hint="eastAsia" w:ascii="楷体" w:hAnsi="楷体" w:eastAsia="楷体"/>
          <w:sz w:val="28"/>
          <w:szCs w:val="28"/>
        </w:rPr>
        <w:t>承诺人（盖章）：</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附件5：</w:t>
      </w:r>
    </w:p>
    <w:p>
      <w:pPr>
        <w:pStyle w:val="2"/>
        <w:jc w:val="center"/>
        <w:rPr>
          <w:rFonts w:hint="eastAsia" w:ascii="宋体" w:hAnsi="宋体" w:eastAsia="宋体" w:cs="宋体"/>
          <w:b/>
          <w:bCs/>
          <w:sz w:val="28"/>
          <w:szCs w:val="28"/>
          <w:lang w:val="en-US" w:bidi="zh-CN"/>
        </w:rPr>
      </w:pPr>
      <w:r>
        <w:rPr>
          <w:rFonts w:hint="eastAsia" w:ascii="宋体" w:hAnsi="宋体" w:eastAsia="宋体" w:cs="宋体"/>
          <w:b/>
          <w:bCs/>
          <w:sz w:val="28"/>
          <w:szCs w:val="28"/>
          <w:lang w:val="en-US" w:eastAsia="zh-CN"/>
        </w:rPr>
        <w:t>乙方</w:t>
      </w:r>
      <w:r>
        <w:rPr>
          <w:rFonts w:hint="eastAsia" w:ascii="宋体" w:hAnsi="宋体" w:eastAsia="宋体" w:cs="宋体"/>
          <w:b/>
          <w:bCs/>
          <w:sz w:val="28"/>
          <w:szCs w:val="28"/>
          <w:lang w:val="en-US" w:bidi="zh-CN"/>
        </w:rPr>
        <w:t>雇佣/聘请司机、工作人员等名单</w:t>
      </w:r>
    </w:p>
    <w:tbl>
      <w:tblPr>
        <w:tblStyle w:val="11"/>
        <w:tblpPr w:leftFromText="180" w:rightFromText="180" w:vertAnchor="text" w:horzAnchor="page" w:tblpX="619" w:tblpY="54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932"/>
        <w:gridCol w:w="1677"/>
        <w:gridCol w:w="1636"/>
        <w:gridCol w:w="2305"/>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8" w:type="dxa"/>
            <w:noWrap w:val="0"/>
            <w:vAlign w:val="top"/>
          </w:tcPr>
          <w:p>
            <w:pPr>
              <w:jc w:val="center"/>
              <w:rPr>
                <w:rFonts w:hint="eastAsia"/>
                <w:b w:val="0"/>
                <w:bCs w:val="0"/>
                <w:sz w:val="24"/>
                <w:szCs w:val="24"/>
                <w:vertAlign w:val="baseline"/>
                <w:lang w:val="en-US" w:eastAsia="zh-CN"/>
              </w:rPr>
            </w:pPr>
          </w:p>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姓名</w:t>
            </w:r>
          </w:p>
        </w:tc>
        <w:tc>
          <w:tcPr>
            <w:tcW w:w="1932" w:type="dxa"/>
            <w:noWrap w:val="0"/>
            <w:vAlign w:val="top"/>
          </w:tcPr>
          <w:p>
            <w:pPr>
              <w:jc w:val="center"/>
              <w:rPr>
                <w:rFonts w:hint="eastAsia"/>
                <w:b w:val="0"/>
                <w:bCs w:val="0"/>
                <w:sz w:val="24"/>
                <w:szCs w:val="24"/>
                <w:vertAlign w:val="baseline"/>
                <w:lang w:val="en-US" w:eastAsia="zh-CN"/>
              </w:rPr>
            </w:pPr>
          </w:p>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身份证号码</w:t>
            </w:r>
          </w:p>
        </w:tc>
        <w:tc>
          <w:tcPr>
            <w:tcW w:w="1677" w:type="dxa"/>
            <w:noWrap w:val="0"/>
            <w:vAlign w:val="top"/>
          </w:tcPr>
          <w:p>
            <w:pPr>
              <w:pStyle w:val="2"/>
              <w:rPr>
                <w:rFonts w:hint="eastAsia"/>
                <w:b w:val="0"/>
                <w:bCs w:val="0"/>
                <w:sz w:val="24"/>
                <w:szCs w:val="24"/>
                <w:vertAlign w:val="baseline"/>
                <w:lang w:val="en-US" w:eastAsia="zh-CN"/>
              </w:rPr>
            </w:pPr>
          </w:p>
          <w:p>
            <w:pPr>
              <w:pStyle w:val="2"/>
              <w:ind w:firstLine="240" w:firstLineChars="100"/>
              <w:rPr>
                <w:rFonts w:hint="eastAsia"/>
                <w:b w:val="0"/>
                <w:bCs w:val="0"/>
                <w:sz w:val="24"/>
                <w:szCs w:val="24"/>
                <w:vertAlign w:val="baseline"/>
                <w:lang w:val="en-US" w:eastAsia="zh-CN"/>
              </w:rPr>
            </w:pPr>
            <w:r>
              <w:rPr>
                <w:rFonts w:hint="eastAsia"/>
                <w:b w:val="0"/>
                <w:bCs w:val="0"/>
                <w:sz w:val="24"/>
                <w:szCs w:val="24"/>
                <w:vertAlign w:val="baseline"/>
                <w:lang w:val="en-US" w:eastAsia="zh-CN"/>
              </w:rPr>
              <w:t>电话</w:t>
            </w:r>
          </w:p>
        </w:tc>
        <w:tc>
          <w:tcPr>
            <w:tcW w:w="1636" w:type="dxa"/>
            <w:noWrap w:val="0"/>
            <w:vAlign w:val="top"/>
          </w:tcPr>
          <w:p>
            <w:pPr>
              <w:jc w:val="center"/>
              <w:rPr>
                <w:rFonts w:hint="default"/>
                <w:lang w:val="en-US" w:eastAsia="zh-CN"/>
              </w:rPr>
            </w:pPr>
          </w:p>
          <w:p>
            <w:pPr>
              <w:pStyle w:val="2"/>
              <w:rPr>
                <w:rFonts w:hint="default"/>
                <w:lang w:val="en-US" w:eastAsia="zh-CN"/>
              </w:rPr>
            </w:pPr>
            <w:r>
              <w:rPr>
                <w:rFonts w:hint="eastAsia"/>
                <w:b w:val="0"/>
                <w:bCs w:val="0"/>
                <w:sz w:val="24"/>
                <w:szCs w:val="24"/>
                <w:vertAlign w:val="baseline"/>
                <w:lang w:val="en-US" w:eastAsia="zh-CN"/>
              </w:rPr>
              <w:t xml:space="preserve">   岗位</w:t>
            </w:r>
          </w:p>
        </w:tc>
        <w:tc>
          <w:tcPr>
            <w:tcW w:w="2305" w:type="dxa"/>
            <w:noWrap w:val="0"/>
            <w:vAlign w:val="top"/>
          </w:tcPr>
          <w:p>
            <w:pPr>
              <w:jc w:val="center"/>
              <w:rPr>
                <w:rFonts w:hint="eastAsia"/>
                <w:b w:val="0"/>
                <w:bCs w:val="0"/>
                <w:sz w:val="24"/>
                <w:szCs w:val="24"/>
                <w:vertAlign w:val="baseline"/>
                <w:lang w:val="en-US" w:eastAsia="zh-CN"/>
              </w:rPr>
            </w:pPr>
          </w:p>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证件</w:t>
            </w:r>
          </w:p>
        </w:tc>
        <w:tc>
          <w:tcPr>
            <w:tcW w:w="1963" w:type="dxa"/>
            <w:noWrap w:val="0"/>
            <w:vAlign w:val="top"/>
          </w:tcPr>
          <w:p>
            <w:pPr>
              <w:jc w:val="center"/>
              <w:rPr>
                <w:rFonts w:hint="eastAsia"/>
                <w:b w:val="0"/>
                <w:bCs w:val="0"/>
                <w:sz w:val="24"/>
                <w:szCs w:val="24"/>
                <w:vertAlign w:val="baseline"/>
                <w:lang w:val="en-US" w:eastAsia="zh-CN"/>
              </w:rPr>
            </w:pPr>
          </w:p>
          <w:p>
            <w:p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8" w:type="dxa"/>
            <w:noWrap w:val="0"/>
            <w:vAlign w:val="top"/>
          </w:tcPr>
          <w:p>
            <w:pPr>
              <w:jc w:val="center"/>
              <w:rPr>
                <w:rFonts w:hint="default"/>
                <w:b w:val="0"/>
                <w:bCs w:val="0"/>
                <w:sz w:val="24"/>
                <w:szCs w:val="24"/>
                <w:vertAlign w:val="baseline"/>
                <w:lang w:val="en-US" w:eastAsia="zh-CN"/>
              </w:rPr>
            </w:pPr>
          </w:p>
        </w:tc>
        <w:tc>
          <w:tcPr>
            <w:tcW w:w="1932" w:type="dxa"/>
            <w:noWrap w:val="0"/>
            <w:vAlign w:val="top"/>
          </w:tcPr>
          <w:p>
            <w:pPr>
              <w:jc w:val="center"/>
              <w:rPr>
                <w:rFonts w:hint="default"/>
                <w:b w:val="0"/>
                <w:bCs w:val="0"/>
                <w:sz w:val="24"/>
                <w:szCs w:val="24"/>
                <w:vertAlign w:val="baseline"/>
                <w:lang w:val="en-US" w:eastAsia="zh-CN"/>
              </w:rPr>
            </w:pPr>
          </w:p>
        </w:tc>
        <w:tc>
          <w:tcPr>
            <w:tcW w:w="1677" w:type="dxa"/>
            <w:noWrap w:val="0"/>
            <w:vAlign w:val="top"/>
          </w:tcPr>
          <w:p>
            <w:pPr>
              <w:jc w:val="center"/>
              <w:rPr>
                <w:rFonts w:hint="default"/>
                <w:b w:val="0"/>
                <w:bCs w:val="0"/>
                <w:sz w:val="24"/>
                <w:szCs w:val="24"/>
                <w:vertAlign w:val="baseline"/>
                <w:lang w:val="en-US" w:eastAsia="zh-CN"/>
              </w:rPr>
            </w:pPr>
          </w:p>
        </w:tc>
        <w:tc>
          <w:tcPr>
            <w:tcW w:w="1636" w:type="dxa"/>
            <w:noWrap w:val="0"/>
            <w:vAlign w:val="top"/>
          </w:tcPr>
          <w:p>
            <w:pPr>
              <w:jc w:val="center"/>
              <w:rPr>
                <w:rFonts w:hint="default"/>
                <w:b w:val="0"/>
                <w:bCs w:val="0"/>
                <w:sz w:val="24"/>
                <w:szCs w:val="24"/>
                <w:vertAlign w:val="baseline"/>
                <w:lang w:val="en-US" w:eastAsia="zh-CN"/>
              </w:rPr>
            </w:pPr>
          </w:p>
        </w:tc>
        <w:tc>
          <w:tcPr>
            <w:tcW w:w="2305" w:type="dxa"/>
            <w:noWrap w:val="0"/>
            <w:vAlign w:val="top"/>
          </w:tcPr>
          <w:p>
            <w:pPr>
              <w:jc w:val="center"/>
              <w:rPr>
                <w:rFonts w:hint="default"/>
                <w:b w:val="0"/>
                <w:bCs w:val="0"/>
                <w:sz w:val="24"/>
                <w:szCs w:val="24"/>
                <w:vertAlign w:val="baseline"/>
                <w:lang w:val="en-US" w:eastAsia="zh-CN"/>
              </w:rPr>
            </w:pPr>
          </w:p>
        </w:tc>
        <w:tc>
          <w:tcPr>
            <w:tcW w:w="1963" w:type="dxa"/>
            <w:noWrap w:val="0"/>
            <w:vAlign w:val="top"/>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118" w:type="dxa"/>
            <w:noWrap w:val="0"/>
            <w:vAlign w:val="top"/>
          </w:tcPr>
          <w:p>
            <w:pPr>
              <w:jc w:val="center"/>
              <w:rPr>
                <w:rFonts w:hint="default"/>
                <w:b w:val="0"/>
                <w:bCs w:val="0"/>
                <w:sz w:val="24"/>
                <w:szCs w:val="24"/>
                <w:vertAlign w:val="baseline"/>
                <w:lang w:val="en-US" w:eastAsia="zh-CN"/>
              </w:rPr>
            </w:pPr>
          </w:p>
        </w:tc>
        <w:tc>
          <w:tcPr>
            <w:tcW w:w="1932" w:type="dxa"/>
            <w:noWrap w:val="0"/>
            <w:vAlign w:val="top"/>
          </w:tcPr>
          <w:p>
            <w:pPr>
              <w:jc w:val="center"/>
              <w:rPr>
                <w:rFonts w:hint="default"/>
                <w:b w:val="0"/>
                <w:bCs w:val="0"/>
                <w:sz w:val="24"/>
                <w:szCs w:val="24"/>
                <w:vertAlign w:val="baseline"/>
                <w:lang w:val="en-US" w:eastAsia="zh-CN"/>
              </w:rPr>
            </w:pPr>
          </w:p>
        </w:tc>
        <w:tc>
          <w:tcPr>
            <w:tcW w:w="1677" w:type="dxa"/>
            <w:noWrap w:val="0"/>
            <w:vAlign w:val="top"/>
          </w:tcPr>
          <w:p>
            <w:pPr>
              <w:jc w:val="center"/>
              <w:rPr>
                <w:rFonts w:hint="default"/>
                <w:b w:val="0"/>
                <w:bCs w:val="0"/>
                <w:sz w:val="24"/>
                <w:szCs w:val="24"/>
                <w:vertAlign w:val="baseline"/>
                <w:lang w:val="en-US" w:eastAsia="zh-CN"/>
              </w:rPr>
            </w:pPr>
          </w:p>
        </w:tc>
        <w:tc>
          <w:tcPr>
            <w:tcW w:w="1636" w:type="dxa"/>
            <w:noWrap w:val="0"/>
            <w:vAlign w:val="top"/>
          </w:tcPr>
          <w:p>
            <w:pPr>
              <w:jc w:val="center"/>
              <w:rPr>
                <w:rFonts w:hint="default"/>
                <w:b w:val="0"/>
                <w:bCs w:val="0"/>
                <w:sz w:val="24"/>
                <w:szCs w:val="24"/>
                <w:vertAlign w:val="baseline"/>
                <w:lang w:val="en-US" w:eastAsia="zh-CN"/>
              </w:rPr>
            </w:pPr>
          </w:p>
        </w:tc>
        <w:tc>
          <w:tcPr>
            <w:tcW w:w="2305" w:type="dxa"/>
            <w:noWrap w:val="0"/>
            <w:vAlign w:val="top"/>
          </w:tcPr>
          <w:p>
            <w:pPr>
              <w:jc w:val="center"/>
              <w:rPr>
                <w:rFonts w:hint="default"/>
                <w:b w:val="0"/>
                <w:bCs w:val="0"/>
                <w:sz w:val="24"/>
                <w:szCs w:val="24"/>
                <w:vertAlign w:val="baseline"/>
                <w:lang w:val="en-US" w:eastAsia="zh-CN"/>
              </w:rPr>
            </w:pPr>
          </w:p>
        </w:tc>
        <w:tc>
          <w:tcPr>
            <w:tcW w:w="1963" w:type="dxa"/>
            <w:noWrap w:val="0"/>
            <w:vAlign w:val="top"/>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18" w:type="dxa"/>
            <w:noWrap w:val="0"/>
            <w:vAlign w:val="top"/>
          </w:tcPr>
          <w:p>
            <w:pPr>
              <w:jc w:val="center"/>
              <w:rPr>
                <w:rFonts w:hint="default"/>
                <w:b w:val="0"/>
                <w:bCs w:val="0"/>
                <w:sz w:val="24"/>
                <w:szCs w:val="24"/>
                <w:vertAlign w:val="baseline"/>
                <w:lang w:val="en-US" w:eastAsia="zh-CN"/>
              </w:rPr>
            </w:pPr>
          </w:p>
        </w:tc>
        <w:tc>
          <w:tcPr>
            <w:tcW w:w="1932" w:type="dxa"/>
            <w:noWrap w:val="0"/>
            <w:vAlign w:val="top"/>
          </w:tcPr>
          <w:p>
            <w:pPr>
              <w:jc w:val="center"/>
              <w:rPr>
                <w:rFonts w:hint="default"/>
                <w:b w:val="0"/>
                <w:bCs w:val="0"/>
                <w:sz w:val="24"/>
                <w:szCs w:val="24"/>
                <w:vertAlign w:val="baseline"/>
                <w:lang w:val="en-US" w:eastAsia="zh-CN"/>
              </w:rPr>
            </w:pPr>
          </w:p>
        </w:tc>
        <w:tc>
          <w:tcPr>
            <w:tcW w:w="1677" w:type="dxa"/>
            <w:noWrap w:val="0"/>
            <w:vAlign w:val="top"/>
          </w:tcPr>
          <w:p>
            <w:pPr>
              <w:jc w:val="center"/>
              <w:rPr>
                <w:rFonts w:hint="default"/>
                <w:b w:val="0"/>
                <w:bCs w:val="0"/>
                <w:sz w:val="24"/>
                <w:szCs w:val="24"/>
                <w:vertAlign w:val="baseline"/>
                <w:lang w:val="en-US" w:eastAsia="zh-CN"/>
              </w:rPr>
            </w:pPr>
          </w:p>
        </w:tc>
        <w:tc>
          <w:tcPr>
            <w:tcW w:w="1636" w:type="dxa"/>
            <w:noWrap w:val="0"/>
            <w:vAlign w:val="top"/>
          </w:tcPr>
          <w:p>
            <w:pPr>
              <w:jc w:val="center"/>
              <w:rPr>
                <w:rFonts w:hint="default"/>
                <w:b w:val="0"/>
                <w:bCs w:val="0"/>
                <w:sz w:val="24"/>
                <w:szCs w:val="24"/>
                <w:vertAlign w:val="baseline"/>
                <w:lang w:val="en-US" w:eastAsia="zh-CN"/>
              </w:rPr>
            </w:pPr>
          </w:p>
        </w:tc>
        <w:tc>
          <w:tcPr>
            <w:tcW w:w="2305" w:type="dxa"/>
            <w:noWrap w:val="0"/>
            <w:vAlign w:val="top"/>
          </w:tcPr>
          <w:p>
            <w:pPr>
              <w:jc w:val="center"/>
              <w:rPr>
                <w:rFonts w:hint="default"/>
                <w:b w:val="0"/>
                <w:bCs w:val="0"/>
                <w:sz w:val="24"/>
                <w:szCs w:val="24"/>
                <w:vertAlign w:val="baseline"/>
                <w:lang w:val="en-US" w:eastAsia="zh-CN"/>
              </w:rPr>
            </w:pPr>
          </w:p>
        </w:tc>
        <w:tc>
          <w:tcPr>
            <w:tcW w:w="1963" w:type="dxa"/>
            <w:noWrap w:val="0"/>
            <w:vAlign w:val="top"/>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118" w:type="dxa"/>
            <w:noWrap w:val="0"/>
            <w:vAlign w:val="top"/>
          </w:tcPr>
          <w:p>
            <w:pPr>
              <w:jc w:val="center"/>
              <w:rPr>
                <w:rFonts w:hint="default"/>
                <w:b w:val="0"/>
                <w:bCs w:val="0"/>
                <w:sz w:val="24"/>
                <w:szCs w:val="24"/>
                <w:vertAlign w:val="baseline"/>
                <w:lang w:val="en-US" w:eastAsia="zh-CN"/>
              </w:rPr>
            </w:pPr>
          </w:p>
        </w:tc>
        <w:tc>
          <w:tcPr>
            <w:tcW w:w="1932" w:type="dxa"/>
            <w:noWrap w:val="0"/>
            <w:vAlign w:val="top"/>
          </w:tcPr>
          <w:p>
            <w:pPr>
              <w:jc w:val="center"/>
              <w:rPr>
                <w:rFonts w:hint="default"/>
                <w:b w:val="0"/>
                <w:bCs w:val="0"/>
                <w:sz w:val="24"/>
                <w:szCs w:val="24"/>
                <w:vertAlign w:val="baseline"/>
                <w:lang w:val="en-US" w:eastAsia="zh-CN"/>
              </w:rPr>
            </w:pPr>
          </w:p>
        </w:tc>
        <w:tc>
          <w:tcPr>
            <w:tcW w:w="1677" w:type="dxa"/>
            <w:noWrap w:val="0"/>
            <w:vAlign w:val="top"/>
          </w:tcPr>
          <w:p>
            <w:pPr>
              <w:jc w:val="center"/>
              <w:rPr>
                <w:rFonts w:hint="default"/>
                <w:b w:val="0"/>
                <w:bCs w:val="0"/>
                <w:sz w:val="24"/>
                <w:szCs w:val="24"/>
                <w:vertAlign w:val="baseline"/>
                <w:lang w:val="en-US" w:eastAsia="zh-CN"/>
              </w:rPr>
            </w:pPr>
          </w:p>
        </w:tc>
        <w:tc>
          <w:tcPr>
            <w:tcW w:w="1636" w:type="dxa"/>
            <w:noWrap w:val="0"/>
            <w:vAlign w:val="top"/>
          </w:tcPr>
          <w:p>
            <w:pPr>
              <w:jc w:val="center"/>
              <w:rPr>
                <w:rFonts w:hint="default"/>
                <w:b w:val="0"/>
                <w:bCs w:val="0"/>
                <w:sz w:val="24"/>
                <w:szCs w:val="24"/>
                <w:vertAlign w:val="baseline"/>
                <w:lang w:val="en-US" w:eastAsia="zh-CN"/>
              </w:rPr>
            </w:pPr>
          </w:p>
        </w:tc>
        <w:tc>
          <w:tcPr>
            <w:tcW w:w="2305" w:type="dxa"/>
            <w:noWrap w:val="0"/>
            <w:vAlign w:val="top"/>
          </w:tcPr>
          <w:p>
            <w:pPr>
              <w:jc w:val="center"/>
              <w:rPr>
                <w:rFonts w:hint="default"/>
                <w:b w:val="0"/>
                <w:bCs w:val="0"/>
                <w:sz w:val="24"/>
                <w:szCs w:val="24"/>
                <w:vertAlign w:val="baseline"/>
                <w:lang w:val="en-US" w:eastAsia="zh-CN"/>
              </w:rPr>
            </w:pPr>
          </w:p>
        </w:tc>
        <w:tc>
          <w:tcPr>
            <w:tcW w:w="1963" w:type="dxa"/>
            <w:noWrap w:val="0"/>
            <w:vAlign w:val="top"/>
          </w:tcPr>
          <w:p>
            <w:pPr>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118" w:type="dxa"/>
            <w:noWrap w:val="0"/>
            <w:vAlign w:val="top"/>
          </w:tcPr>
          <w:p>
            <w:pPr>
              <w:jc w:val="center"/>
              <w:rPr>
                <w:rFonts w:hint="default"/>
                <w:b w:val="0"/>
                <w:bCs w:val="0"/>
                <w:sz w:val="24"/>
                <w:szCs w:val="24"/>
                <w:vertAlign w:val="baseline"/>
                <w:lang w:val="en-US" w:eastAsia="zh-CN"/>
              </w:rPr>
            </w:pPr>
          </w:p>
        </w:tc>
        <w:tc>
          <w:tcPr>
            <w:tcW w:w="1932" w:type="dxa"/>
            <w:noWrap w:val="0"/>
            <w:vAlign w:val="top"/>
          </w:tcPr>
          <w:p>
            <w:pPr>
              <w:jc w:val="center"/>
              <w:rPr>
                <w:rFonts w:hint="default"/>
                <w:b w:val="0"/>
                <w:bCs w:val="0"/>
                <w:sz w:val="24"/>
                <w:szCs w:val="24"/>
                <w:vertAlign w:val="baseline"/>
                <w:lang w:val="en-US" w:eastAsia="zh-CN"/>
              </w:rPr>
            </w:pPr>
          </w:p>
        </w:tc>
        <w:tc>
          <w:tcPr>
            <w:tcW w:w="1677" w:type="dxa"/>
            <w:noWrap w:val="0"/>
            <w:vAlign w:val="top"/>
          </w:tcPr>
          <w:p>
            <w:pPr>
              <w:jc w:val="center"/>
              <w:rPr>
                <w:rFonts w:hint="default"/>
                <w:b w:val="0"/>
                <w:bCs w:val="0"/>
                <w:sz w:val="24"/>
                <w:szCs w:val="24"/>
                <w:vertAlign w:val="baseline"/>
                <w:lang w:val="en-US" w:eastAsia="zh-CN"/>
              </w:rPr>
            </w:pPr>
          </w:p>
        </w:tc>
        <w:tc>
          <w:tcPr>
            <w:tcW w:w="1636" w:type="dxa"/>
            <w:noWrap w:val="0"/>
            <w:vAlign w:val="top"/>
          </w:tcPr>
          <w:p>
            <w:pPr>
              <w:jc w:val="center"/>
              <w:rPr>
                <w:rFonts w:hint="default"/>
                <w:b w:val="0"/>
                <w:bCs w:val="0"/>
                <w:sz w:val="24"/>
                <w:szCs w:val="24"/>
                <w:vertAlign w:val="baseline"/>
                <w:lang w:val="en-US" w:eastAsia="zh-CN"/>
              </w:rPr>
            </w:pPr>
          </w:p>
        </w:tc>
        <w:tc>
          <w:tcPr>
            <w:tcW w:w="2305" w:type="dxa"/>
            <w:noWrap w:val="0"/>
            <w:vAlign w:val="top"/>
          </w:tcPr>
          <w:p>
            <w:pPr>
              <w:jc w:val="center"/>
              <w:rPr>
                <w:rFonts w:hint="default"/>
                <w:b w:val="0"/>
                <w:bCs w:val="0"/>
                <w:sz w:val="24"/>
                <w:szCs w:val="24"/>
                <w:vertAlign w:val="baseline"/>
                <w:lang w:val="en-US" w:eastAsia="zh-CN"/>
              </w:rPr>
            </w:pPr>
          </w:p>
        </w:tc>
        <w:tc>
          <w:tcPr>
            <w:tcW w:w="1963" w:type="dxa"/>
            <w:noWrap w:val="0"/>
            <w:vAlign w:val="top"/>
          </w:tcPr>
          <w:p>
            <w:pPr>
              <w:jc w:val="center"/>
              <w:rPr>
                <w:rFonts w:hint="default"/>
                <w:b w:val="0"/>
                <w:bCs w:val="0"/>
                <w:sz w:val="24"/>
                <w:szCs w:val="24"/>
                <w:vertAlign w:val="baseline"/>
                <w:lang w:val="en-US" w:eastAsia="zh-CN"/>
              </w:rPr>
            </w:pPr>
          </w:p>
        </w:tc>
      </w:tr>
    </w:tbl>
    <w:p>
      <w:pPr>
        <w:pStyle w:val="2"/>
        <w:jc w:val="center"/>
        <w:rPr>
          <w:rFonts w:hint="default" w:ascii="宋体" w:hAnsi="宋体" w:eastAsia="宋体" w:cs="宋体"/>
          <w:b/>
          <w:bCs/>
          <w:sz w:val="28"/>
          <w:szCs w:val="28"/>
          <w:lang w:val="en-US" w:eastAsia="zh-CN" w:bidi="zh-CN"/>
        </w:rPr>
      </w:pPr>
    </w:p>
    <w:p>
      <w:pPr>
        <w:jc w:val="center"/>
        <w:rPr>
          <w:rFonts w:hint="default"/>
          <w:b/>
          <w:bCs/>
          <w:sz w:val="28"/>
          <w:szCs w:val="28"/>
          <w:lang w:val="en-US" w:eastAsia="zh-CN"/>
        </w:rPr>
      </w:pPr>
    </w:p>
    <w:p>
      <w:pPr>
        <w:pStyle w:val="2"/>
        <w:rPr>
          <w:rFonts w:hint="default"/>
          <w:b/>
          <w:bCs/>
          <w:sz w:val="28"/>
          <w:szCs w:val="28"/>
          <w:lang w:val="en-US" w:eastAsia="zh-CN"/>
        </w:rPr>
      </w:pPr>
    </w:p>
    <w:p>
      <w:pPr>
        <w:pStyle w:val="2"/>
        <w:rPr>
          <w:rFonts w:hint="eastAsia"/>
          <w:b w:val="0"/>
          <w:bCs w:val="0"/>
          <w:sz w:val="24"/>
          <w:szCs w:val="24"/>
          <w:lang w:val="en-US" w:eastAsia="zh-CN"/>
        </w:rPr>
      </w:pPr>
      <w:r>
        <w:rPr>
          <w:rFonts w:hint="eastAsia"/>
          <w:b/>
          <w:bCs/>
          <w:sz w:val="28"/>
          <w:szCs w:val="28"/>
          <w:lang w:val="en-US" w:eastAsia="zh-CN"/>
        </w:rPr>
        <w:t xml:space="preserve">                                 </w:t>
      </w:r>
      <w:r>
        <w:rPr>
          <w:rFonts w:hint="eastAsia"/>
          <w:b/>
          <w:bCs/>
          <w:sz w:val="24"/>
          <w:szCs w:val="24"/>
          <w:lang w:val="en-US" w:eastAsia="zh-CN"/>
        </w:rPr>
        <w:t xml:space="preserve"> </w:t>
      </w:r>
      <w:r>
        <w:rPr>
          <w:rFonts w:hint="eastAsia"/>
          <w:b w:val="0"/>
          <w:bCs w:val="0"/>
          <w:sz w:val="24"/>
          <w:szCs w:val="24"/>
          <w:lang w:val="en-US" w:eastAsia="zh-CN"/>
        </w:rPr>
        <w:t>确认人（签字捺印）：</w:t>
      </w:r>
    </w:p>
    <w:p>
      <w:pPr>
        <w:pStyle w:val="2"/>
        <w:rPr>
          <w:rFonts w:hint="eastAsia"/>
          <w:b w:val="0"/>
          <w:bCs w:val="0"/>
          <w:sz w:val="24"/>
          <w:szCs w:val="24"/>
          <w:lang w:val="en-US" w:eastAsia="zh-CN"/>
        </w:rPr>
      </w:pPr>
      <w:r>
        <w:rPr>
          <w:rFonts w:hint="eastAsia"/>
          <w:b w:val="0"/>
          <w:bCs w:val="0"/>
          <w:sz w:val="24"/>
          <w:szCs w:val="24"/>
          <w:lang w:val="en-US" w:eastAsia="zh-CN"/>
        </w:rPr>
        <w:t xml:space="preserve">                                      </w:t>
      </w:r>
    </w:p>
    <w:p>
      <w:pPr>
        <w:pStyle w:val="2"/>
        <w:rPr>
          <w:rFonts w:hint="default"/>
          <w:b w:val="0"/>
          <w:bCs w:val="0"/>
          <w:sz w:val="24"/>
          <w:szCs w:val="24"/>
          <w:lang w:val="en-US" w:eastAsia="zh-CN"/>
        </w:rPr>
      </w:pPr>
      <w:r>
        <w:rPr>
          <w:rFonts w:hint="eastAsia"/>
          <w:b w:val="0"/>
          <w:bCs w:val="0"/>
          <w:sz w:val="24"/>
          <w:szCs w:val="24"/>
          <w:lang w:val="en-US" w:eastAsia="zh-CN"/>
        </w:rPr>
        <w:t xml:space="preserve">                                          年    月    日</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sectPr>
          <w:footerReference r:id="rId3" w:type="default"/>
          <w:pgSz w:w="11906" w:h="16838"/>
          <w:pgMar w:top="1066" w:right="1519" w:bottom="1066" w:left="1519" w:header="851" w:footer="992" w:gutter="0"/>
          <w:pgNumType w:fmt="decimal"/>
          <w:cols w:space="425" w:num="1"/>
          <w:docGrid w:type="lines" w:linePitch="312" w:charSpace="0"/>
        </w:sectPr>
      </w:pP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附件6：</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关联主体信息表</w:t>
      </w:r>
    </w:p>
    <w:p>
      <w:pPr>
        <w:pStyle w:val="21"/>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lang w:val="en-US" w:eastAsia="zh-CN"/>
        </w:rPr>
      </w:pPr>
    </w:p>
    <w:p>
      <w:pPr>
        <w:pStyle w:val="2"/>
        <w:rPr>
          <w:rFonts w:hint="eastAsia" w:ascii="宋体" w:hAnsi="宋体" w:eastAsia="宋体" w:cs="宋体"/>
          <w:sz w:val="21"/>
          <w:szCs w:val="21"/>
        </w:rPr>
      </w:pPr>
    </w:p>
    <w:p>
      <w:pPr>
        <w:spacing w:line="440" w:lineRule="exact"/>
        <w:rPr>
          <w:rFonts w:hint="eastAsia" w:ascii="宋体" w:hAnsi="宋体" w:eastAsia="宋体" w:cs="宋体"/>
          <w:sz w:val="21"/>
          <w:szCs w:val="21"/>
          <w:lang w:bidi="zh-CN"/>
        </w:rPr>
      </w:pPr>
    </w:p>
    <w:sectPr>
      <w:pgSz w:w="16838" w:h="11906" w:orient="landscape"/>
      <w:pgMar w:top="1519" w:right="1066" w:bottom="1519" w:left="106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1A9D7"/>
    <w:multiLevelType w:val="singleLevel"/>
    <w:tmpl w:val="A241A9D7"/>
    <w:lvl w:ilvl="0" w:tentative="0">
      <w:start w:val="1"/>
      <w:numFmt w:val="decimal"/>
      <w:suff w:val="nothing"/>
      <w:lvlText w:val="%1、"/>
      <w:lvlJc w:val="left"/>
    </w:lvl>
  </w:abstractNum>
  <w:abstractNum w:abstractNumId="1">
    <w:nsid w:val="03F31E42"/>
    <w:multiLevelType w:val="multilevel"/>
    <w:tmpl w:val="03F31E4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hNjQ0OTU3MmQyZWNiMWJlZjRiYjkwMzU2MGE0ODMifQ=="/>
    <w:docVar w:name="KSO_WPS_MARK_KEY" w:val="4ebf77f9-b803-4bd5-ad68-20f40972f316"/>
  </w:docVars>
  <w:rsids>
    <w:rsidRoot w:val="47781F21"/>
    <w:rsid w:val="0001074B"/>
    <w:rsid w:val="000403B4"/>
    <w:rsid w:val="000470EC"/>
    <w:rsid w:val="0005214D"/>
    <w:rsid w:val="0005448E"/>
    <w:rsid w:val="0005609D"/>
    <w:rsid w:val="0006131B"/>
    <w:rsid w:val="000755CA"/>
    <w:rsid w:val="00077F39"/>
    <w:rsid w:val="000A09BE"/>
    <w:rsid w:val="000A4CAF"/>
    <w:rsid w:val="000A574A"/>
    <w:rsid w:val="000B56D8"/>
    <w:rsid w:val="000C1EC9"/>
    <w:rsid w:val="000C352A"/>
    <w:rsid w:val="000C5C17"/>
    <w:rsid w:val="000D614E"/>
    <w:rsid w:val="000E2FE3"/>
    <w:rsid w:val="000E4553"/>
    <w:rsid w:val="000E5166"/>
    <w:rsid w:val="000E76FE"/>
    <w:rsid w:val="000F06AB"/>
    <w:rsid w:val="000F2E8D"/>
    <w:rsid w:val="000F43F1"/>
    <w:rsid w:val="000F475E"/>
    <w:rsid w:val="0011318A"/>
    <w:rsid w:val="001266A2"/>
    <w:rsid w:val="001271FF"/>
    <w:rsid w:val="0013028D"/>
    <w:rsid w:val="001535CE"/>
    <w:rsid w:val="00164944"/>
    <w:rsid w:val="00165113"/>
    <w:rsid w:val="001700D3"/>
    <w:rsid w:val="00174BFB"/>
    <w:rsid w:val="00175C49"/>
    <w:rsid w:val="001825C8"/>
    <w:rsid w:val="001855D1"/>
    <w:rsid w:val="001858D8"/>
    <w:rsid w:val="00191124"/>
    <w:rsid w:val="001959AA"/>
    <w:rsid w:val="001B1946"/>
    <w:rsid w:val="001C12FA"/>
    <w:rsid w:val="001F2C69"/>
    <w:rsid w:val="002013B9"/>
    <w:rsid w:val="00224ACF"/>
    <w:rsid w:val="00235343"/>
    <w:rsid w:val="002365A1"/>
    <w:rsid w:val="0024054A"/>
    <w:rsid w:val="00246778"/>
    <w:rsid w:val="00254D4C"/>
    <w:rsid w:val="00257531"/>
    <w:rsid w:val="00263187"/>
    <w:rsid w:val="00265840"/>
    <w:rsid w:val="00274C0F"/>
    <w:rsid w:val="002759B9"/>
    <w:rsid w:val="0028127A"/>
    <w:rsid w:val="00283123"/>
    <w:rsid w:val="00292D99"/>
    <w:rsid w:val="002949F0"/>
    <w:rsid w:val="002A590B"/>
    <w:rsid w:val="002B1C43"/>
    <w:rsid w:val="002B6263"/>
    <w:rsid w:val="002C4ED0"/>
    <w:rsid w:val="002F2EB7"/>
    <w:rsid w:val="00302214"/>
    <w:rsid w:val="003022AF"/>
    <w:rsid w:val="00317AC5"/>
    <w:rsid w:val="00342D3A"/>
    <w:rsid w:val="0035381C"/>
    <w:rsid w:val="003541ED"/>
    <w:rsid w:val="003630E6"/>
    <w:rsid w:val="003C01B0"/>
    <w:rsid w:val="003C085F"/>
    <w:rsid w:val="003C118A"/>
    <w:rsid w:val="003C44E4"/>
    <w:rsid w:val="003C6528"/>
    <w:rsid w:val="003D68D3"/>
    <w:rsid w:val="003D72DC"/>
    <w:rsid w:val="003E33AD"/>
    <w:rsid w:val="004014EA"/>
    <w:rsid w:val="00413BA2"/>
    <w:rsid w:val="00415614"/>
    <w:rsid w:val="0043257B"/>
    <w:rsid w:val="00432E17"/>
    <w:rsid w:val="00433A2B"/>
    <w:rsid w:val="00450DBF"/>
    <w:rsid w:val="00475FE9"/>
    <w:rsid w:val="00483F3A"/>
    <w:rsid w:val="00493F48"/>
    <w:rsid w:val="004C28BA"/>
    <w:rsid w:val="004C4182"/>
    <w:rsid w:val="004C731C"/>
    <w:rsid w:val="004D0F18"/>
    <w:rsid w:val="004D249C"/>
    <w:rsid w:val="004D6318"/>
    <w:rsid w:val="004E1E71"/>
    <w:rsid w:val="004F14F9"/>
    <w:rsid w:val="004F4F96"/>
    <w:rsid w:val="004F5E28"/>
    <w:rsid w:val="0051508C"/>
    <w:rsid w:val="00515439"/>
    <w:rsid w:val="005251B5"/>
    <w:rsid w:val="00535342"/>
    <w:rsid w:val="00540322"/>
    <w:rsid w:val="00547993"/>
    <w:rsid w:val="00566158"/>
    <w:rsid w:val="00590557"/>
    <w:rsid w:val="00593125"/>
    <w:rsid w:val="005A6755"/>
    <w:rsid w:val="005B610E"/>
    <w:rsid w:val="005C627E"/>
    <w:rsid w:val="005C6AFF"/>
    <w:rsid w:val="005E2847"/>
    <w:rsid w:val="006068C3"/>
    <w:rsid w:val="00606F61"/>
    <w:rsid w:val="00625719"/>
    <w:rsid w:val="00626954"/>
    <w:rsid w:val="006343FC"/>
    <w:rsid w:val="00643073"/>
    <w:rsid w:val="0065207E"/>
    <w:rsid w:val="006554B5"/>
    <w:rsid w:val="0066394D"/>
    <w:rsid w:val="006660DC"/>
    <w:rsid w:val="00680CA0"/>
    <w:rsid w:val="00681FF5"/>
    <w:rsid w:val="00685C17"/>
    <w:rsid w:val="00685F81"/>
    <w:rsid w:val="006A074C"/>
    <w:rsid w:val="006C22C0"/>
    <w:rsid w:val="006C7AF9"/>
    <w:rsid w:val="006E44BC"/>
    <w:rsid w:val="00707665"/>
    <w:rsid w:val="0071279B"/>
    <w:rsid w:val="00727A0A"/>
    <w:rsid w:val="00731527"/>
    <w:rsid w:val="00736471"/>
    <w:rsid w:val="00741AB5"/>
    <w:rsid w:val="007462AD"/>
    <w:rsid w:val="0074794C"/>
    <w:rsid w:val="00751124"/>
    <w:rsid w:val="007566DF"/>
    <w:rsid w:val="0076222C"/>
    <w:rsid w:val="00773EDE"/>
    <w:rsid w:val="00775A31"/>
    <w:rsid w:val="00784152"/>
    <w:rsid w:val="00784517"/>
    <w:rsid w:val="00795C44"/>
    <w:rsid w:val="007A1454"/>
    <w:rsid w:val="007A206C"/>
    <w:rsid w:val="007B55BC"/>
    <w:rsid w:val="007C5942"/>
    <w:rsid w:val="007E1A8F"/>
    <w:rsid w:val="007F21AE"/>
    <w:rsid w:val="007F2F85"/>
    <w:rsid w:val="007F337C"/>
    <w:rsid w:val="007F3885"/>
    <w:rsid w:val="007F69BF"/>
    <w:rsid w:val="00803E10"/>
    <w:rsid w:val="008071EC"/>
    <w:rsid w:val="00811F87"/>
    <w:rsid w:val="00815311"/>
    <w:rsid w:val="008168F1"/>
    <w:rsid w:val="00822145"/>
    <w:rsid w:val="00837A90"/>
    <w:rsid w:val="0084327E"/>
    <w:rsid w:val="00851035"/>
    <w:rsid w:val="008674A6"/>
    <w:rsid w:val="00873B5B"/>
    <w:rsid w:val="0089536E"/>
    <w:rsid w:val="008A1622"/>
    <w:rsid w:val="008B64A1"/>
    <w:rsid w:val="008C01C7"/>
    <w:rsid w:val="008C7308"/>
    <w:rsid w:val="008E5A87"/>
    <w:rsid w:val="00905370"/>
    <w:rsid w:val="00917406"/>
    <w:rsid w:val="00917959"/>
    <w:rsid w:val="00935D3D"/>
    <w:rsid w:val="00967868"/>
    <w:rsid w:val="00980E04"/>
    <w:rsid w:val="00991532"/>
    <w:rsid w:val="009C4F9D"/>
    <w:rsid w:val="009C52C9"/>
    <w:rsid w:val="009D387D"/>
    <w:rsid w:val="009D3CDE"/>
    <w:rsid w:val="00A0416C"/>
    <w:rsid w:val="00A052A9"/>
    <w:rsid w:val="00A07802"/>
    <w:rsid w:val="00A11835"/>
    <w:rsid w:val="00A17B24"/>
    <w:rsid w:val="00A23EA4"/>
    <w:rsid w:val="00A32E8F"/>
    <w:rsid w:val="00A41AA3"/>
    <w:rsid w:val="00A4731F"/>
    <w:rsid w:val="00A515D3"/>
    <w:rsid w:val="00A63C0C"/>
    <w:rsid w:val="00A65742"/>
    <w:rsid w:val="00A97875"/>
    <w:rsid w:val="00AA7F57"/>
    <w:rsid w:val="00AC7D0E"/>
    <w:rsid w:val="00AD1C45"/>
    <w:rsid w:val="00AE0700"/>
    <w:rsid w:val="00AE4A10"/>
    <w:rsid w:val="00AF2F50"/>
    <w:rsid w:val="00B02354"/>
    <w:rsid w:val="00B075FC"/>
    <w:rsid w:val="00B207C2"/>
    <w:rsid w:val="00B323C9"/>
    <w:rsid w:val="00B40610"/>
    <w:rsid w:val="00B45A0C"/>
    <w:rsid w:val="00B52414"/>
    <w:rsid w:val="00B565D4"/>
    <w:rsid w:val="00B62A35"/>
    <w:rsid w:val="00B67998"/>
    <w:rsid w:val="00B81B08"/>
    <w:rsid w:val="00B90298"/>
    <w:rsid w:val="00BA3D44"/>
    <w:rsid w:val="00BB1A4C"/>
    <w:rsid w:val="00BB5F18"/>
    <w:rsid w:val="00BD115D"/>
    <w:rsid w:val="00BD558F"/>
    <w:rsid w:val="00BD7CA0"/>
    <w:rsid w:val="00BE3EF0"/>
    <w:rsid w:val="00BF1EFF"/>
    <w:rsid w:val="00BF39E2"/>
    <w:rsid w:val="00C00203"/>
    <w:rsid w:val="00C12518"/>
    <w:rsid w:val="00C21733"/>
    <w:rsid w:val="00C30666"/>
    <w:rsid w:val="00C308EA"/>
    <w:rsid w:val="00C332C0"/>
    <w:rsid w:val="00C41A87"/>
    <w:rsid w:val="00C44F09"/>
    <w:rsid w:val="00C6723D"/>
    <w:rsid w:val="00C71060"/>
    <w:rsid w:val="00C72D92"/>
    <w:rsid w:val="00C83EAB"/>
    <w:rsid w:val="00C8537F"/>
    <w:rsid w:val="00C86AD6"/>
    <w:rsid w:val="00C876B8"/>
    <w:rsid w:val="00C87C1D"/>
    <w:rsid w:val="00CA7B52"/>
    <w:rsid w:val="00CC1426"/>
    <w:rsid w:val="00CC3253"/>
    <w:rsid w:val="00CC75B4"/>
    <w:rsid w:val="00CD7771"/>
    <w:rsid w:val="00CE4362"/>
    <w:rsid w:val="00CE4458"/>
    <w:rsid w:val="00CF269C"/>
    <w:rsid w:val="00D1169A"/>
    <w:rsid w:val="00D14DA7"/>
    <w:rsid w:val="00D214FD"/>
    <w:rsid w:val="00D24B90"/>
    <w:rsid w:val="00D44350"/>
    <w:rsid w:val="00D622AF"/>
    <w:rsid w:val="00D65D62"/>
    <w:rsid w:val="00D73B93"/>
    <w:rsid w:val="00D76FCC"/>
    <w:rsid w:val="00DA03E3"/>
    <w:rsid w:val="00DA19DD"/>
    <w:rsid w:val="00DA435C"/>
    <w:rsid w:val="00DB00B2"/>
    <w:rsid w:val="00DB6638"/>
    <w:rsid w:val="00DC0174"/>
    <w:rsid w:val="00DC06FF"/>
    <w:rsid w:val="00DC5A13"/>
    <w:rsid w:val="00DC68A3"/>
    <w:rsid w:val="00DC70A5"/>
    <w:rsid w:val="00DD2D0D"/>
    <w:rsid w:val="00DD7ED5"/>
    <w:rsid w:val="00DE3A02"/>
    <w:rsid w:val="00DE6C2F"/>
    <w:rsid w:val="00E00A35"/>
    <w:rsid w:val="00E0748F"/>
    <w:rsid w:val="00E15E08"/>
    <w:rsid w:val="00E228BC"/>
    <w:rsid w:val="00E355EA"/>
    <w:rsid w:val="00E35C07"/>
    <w:rsid w:val="00E42A20"/>
    <w:rsid w:val="00E51789"/>
    <w:rsid w:val="00E54630"/>
    <w:rsid w:val="00E612B5"/>
    <w:rsid w:val="00E640DB"/>
    <w:rsid w:val="00E64CF4"/>
    <w:rsid w:val="00E73667"/>
    <w:rsid w:val="00E73C35"/>
    <w:rsid w:val="00E84E2F"/>
    <w:rsid w:val="00E91ABB"/>
    <w:rsid w:val="00EB0A72"/>
    <w:rsid w:val="00EB1CB4"/>
    <w:rsid w:val="00EC0ABC"/>
    <w:rsid w:val="00ED5F26"/>
    <w:rsid w:val="00ED60B2"/>
    <w:rsid w:val="00EE5AB2"/>
    <w:rsid w:val="00EF346D"/>
    <w:rsid w:val="00F03F05"/>
    <w:rsid w:val="00F05182"/>
    <w:rsid w:val="00F058C5"/>
    <w:rsid w:val="00F05D5D"/>
    <w:rsid w:val="00F06243"/>
    <w:rsid w:val="00F1011A"/>
    <w:rsid w:val="00F22A8F"/>
    <w:rsid w:val="00F32A7A"/>
    <w:rsid w:val="00F34FE8"/>
    <w:rsid w:val="00F52477"/>
    <w:rsid w:val="00F52CC0"/>
    <w:rsid w:val="00F62D72"/>
    <w:rsid w:val="00F65FF4"/>
    <w:rsid w:val="00F660F7"/>
    <w:rsid w:val="00F66C13"/>
    <w:rsid w:val="00F71B30"/>
    <w:rsid w:val="00F7429A"/>
    <w:rsid w:val="00F810A5"/>
    <w:rsid w:val="00F8754B"/>
    <w:rsid w:val="00F912E2"/>
    <w:rsid w:val="00FA206F"/>
    <w:rsid w:val="00FA760A"/>
    <w:rsid w:val="00FB0177"/>
    <w:rsid w:val="00FB0EA2"/>
    <w:rsid w:val="00FB3CF6"/>
    <w:rsid w:val="00FD17DB"/>
    <w:rsid w:val="00FE054C"/>
    <w:rsid w:val="00FE2A26"/>
    <w:rsid w:val="00FF52E6"/>
    <w:rsid w:val="02F44E83"/>
    <w:rsid w:val="0314273E"/>
    <w:rsid w:val="05972365"/>
    <w:rsid w:val="083B748A"/>
    <w:rsid w:val="085A6446"/>
    <w:rsid w:val="08C2594B"/>
    <w:rsid w:val="093A0A01"/>
    <w:rsid w:val="099F5C8C"/>
    <w:rsid w:val="0DE63E89"/>
    <w:rsid w:val="0E576B35"/>
    <w:rsid w:val="13826402"/>
    <w:rsid w:val="13C76B87"/>
    <w:rsid w:val="148E2112"/>
    <w:rsid w:val="1A0210F4"/>
    <w:rsid w:val="1AA82AC5"/>
    <w:rsid w:val="1B5A6058"/>
    <w:rsid w:val="1C5D7A0C"/>
    <w:rsid w:val="1D4F34E4"/>
    <w:rsid w:val="1D6B42CF"/>
    <w:rsid w:val="1D8A1C19"/>
    <w:rsid w:val="1EDF58E9"/>
    <w:rsid w:val="1F1C1F98"/>
    <w:rsid w:val="211E1CCC"/>
    <w:rsid w:val="25B6018D"/>
    <w:rsid w:val="262736E4"/>
    <w:rsid w:val="284C7150"/>
    <w:rsid w:val="2A9A1EA1"/>
    <w:rsid w:val="2AE907B8"/>
    <w:rsid w:val="31A62D61"/>
    <w:rsid w:val="348A6919"/>
    <w:rsid w:val="35041B80"/>
    <w:rsid w:val="372F3469"/>
    <w:rsid w:val="3D5E28B9"/>
    <w:rsid w:val="3E021D6A"/>
    <w:rsid w:val="3E3B007D"/>
    <w:rsid w:val="3F3F695F"/>
    <w:rsid w:val="40C87E9A"/>
    <w:rsid w:val="42145290"/>
    <w:rsid w:val="436154B1"/>
    <w:rsid w:val="4484172B"/>
    <w:rsid w:val="45862404"/>
    <w:rsid w:val="47781F21"/>
    <w:rsid w:val="480E00D7"/>
    <w:rsid w:val="48F7562C"/>
    <w:rsid w:val="4B0A368B"/>
    <w:rsid w:val="4D644A5B"/>
    <w:rsid w:val="4F51098A"/>
    <w:rsid w:val="4F974D4C"/>
    <w:rsid w:val="507D5927"/>
    <w:rsid w:val="50E05F3B"/>
    <w:rsid w:val="51B014ED"/>
    <w:rsid w:val="52F3136B"/>
    <w:rsid w:val="533156F4"/>
    <w:rsid w:val="5415414D"/>
    <w:rsid w:val="546724CF"/>
    <w:rsid w:val="54FF47D3"/>
    <w:rsid w:val="56343790"/>
    <w:rsid w:val="563E1688"/>
    <w:rsid w:val="564B35AB"/>
    <w:rsid w:val="57504FB7"/>
    <w:rsid w:val="598FEB60"/>
    <w:rsid w:val="5C426ECC"/>
    <w:rsid w:val="5C632E3E"/>
    <w:rsid w:val="5D726B47"/>
    <w:rsid w:val="5F420427"/>
    <w:rsid w:val="605438CC"/>
    <w:rsid w:val="65E8068C"/>
    <w:rsid w:val="66131A23"/>
    <w:rsid w:val="6EED5F9B"/>
    <w:rsid w:val="6FDD0234"/>
    <w:rsid w:val="71FD4747"/>
    <w:rsid w:val="723C2213"/>
    <w:rsid w:val="72807126"/>
    <w:rsid w:val="728C0D27"/>
    <w:rsid w:val="73321515"/>
    <w:rsid w:val="74853C92"/>
    <w:rsid w:val="78126567"/>
    <w:rsid w:val="786F523D"/>
    <w:rsid w:val="78C31B1A"/>
    <w:rsid w:val="78CF37B9"/>
    <w:rsid w:val="78D9261E"/>
    <w:rsid w:val="78F767F5"/>
    <w:rsid w:val="79490272"/>
    <w:rsid w:val="79D044EF"/>
    <w:rsid w:val="7B03404E"/>
    <w:rsid w:val="7B7C2528"/>
    <w:rsid w:val="7E451B07"/>
    <w:rsid w:val="7E4B05E8"/>
    <w:rsid w:val="7EC62364"/>
    <w:rsid w:val="7FB0141E"/>
    <w:rsid w:val="BFFF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0"/>
    <w:rPr>
      <w:rFonts w:asciiTheme="minorHAnsi" w:hAnsiTheme="minorHAnsi" w:eastAsiaTheme="minorEastAsia" w:cstheme="minorBidi"/>
      <w:kern w:val="2"/>
      <w:sz w:val="18"/>
      <w:szCs w:val="18"/>
    </w:rPr>
  </w:style>
  <w:style w:type="character" w:customStyle="1" w:styleId="16">
    <w:name w:val="页脚 字符"/>
    <w:basedOn w:val="12"/>
    <w:link w:val="6"/>
    <w:qFormat/>
    <w:uiPriority w:val="0"/>
    <w:rPr>
      <w:rFonts w:asciiTheme="minorHAnsi" w:hAnsiTheme="minorHAnsi" w:eastAsiaTheme="minorEastAsia" w:cstheme="minorBidi"/>
      <w:kern w:val="2"/>
      <w:sz w:val="18"/>
      <w:szCs w:val="18"/>
    </w:rPr>
  </w:style>
  <w:style w:type="character" w:customStyle="1" w:styleId="17">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8">
    <w:name w:val="批注文字 字符"/>
    <w:basedOn w:val="12"/>
    <w:link w:val="4"/>
    <w:qFormat/>
    <w:uiPriority w:val="0"/>
    <w:rPr>
      <w:rFonts w:asciiTheme="minorHAnsi" w:hAnsiTheme="minorHAnsi" w:eastAsiaTheme="minorEastAsia" w:cstheme="minorBidi"/>
      <w:kern w:val="2"/>
      <w:sz w:val="21"/>
      <w:szCs w:val="22"/>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2"/>
    </w:rPr>
  </w:style>
  <w:style w:type="character" w:customStyle="1" w:styleId="20">
    <w:name w:val="title2"/>
    <w:qFormat/>
    <w:uiPriority w:val="0"/>
    <w:rPr>
      <w:rFonts w:hint="eastAsia" w:ascii="微软雅黑" w:hAnsi="微软雅黑" w:eastAsia="微软雅黑"/>
      <w:sz w:val="24"/>
      <w:szCs w:val="24"/>
    </w:rPr>
  </w:style>
  <w:style w:type="paragraph" w:styleId="21">
    <w:name w:val="List Paragraph"/>
    <w:basedOn w:val="1"/>
    <w:qFormat/>
    <w:uiPriority w:val="99"/>
    <w:pPr>
      <w:ind w:firstLine="420" w:firstLineChars="200"/>
    </w:p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11658</Words>
  <Characters>11789</Characters>
  <Lines>35</Lines>
  <Paragraphs>10</Paragraphs>
  <TotalTime>43</TotalTime>
  <ScaleCrop>false</ScaleCrop>
  <LinksUpToDate>false</LinksUpToDate>
  <CharactersWithSpaces>12495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2021-03-30T22:07:00Z</dcterms:created>
  <dc:creator>冯家小胖</dc:creator>
  <cp:lastModifiedBy>fresh-scm</cp:lastModifiedBy>
  <dcterms:modified xsi:type="dcterms:W3CDTF">2025-03-26T06:03:08Z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B99418746E5C4899A071852499DCEA60</vt:lpwstr>
  </property>
  <property fmtid="{D5CDD505-2E9C-101B-9397-08002B2CF9AE}" pid="4" name="KSOTemplateDocerSaveRecord">
    <vt:lpwstr>eyJoZGlkIjoiODI1ZGUxYTlhMWVmNGQ1NzkxMmZhMTI5ZWFhMDFiYjIiLCJ1c2VySWQiOiI0ODgyNDU2NTYifQ==</vt:lpwstr>
  </property>
</Properties>
</file>