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3F598">
      <w:pPr>
        <w:spacing w:before="156" w:beforeLines="50" w:after="156" w:afterLines="50" w:line="360" w:lineRule="auto"/>
        <w:ind w:right="6"/>
        <w:jc w:val="center"/>
        <w:rPr>
          <w:rFonts w:hint="eastAsia" w:ascii="宋体" w:hAnsi="宋体" w:eastAsia="宋体" w:cs="宋体"/>
          <w:sz w:val="36"/>
          <w:szCs w:val="36"/>
        </w:rPr>
      </w:pPr>
      <w:r>
        <w:rPr>
          <w:rFonts w:hint="eastAsia" w:ascii="宋体" w:hAnsi="宋体" w:eastAsia="宋体" w:cs="宋体"/>
          <w:b/>
          <w:bCs w:val="0"/>
          <w:sz w:val="36"/>
          <w:szCs w:val="36"/>
        </w:rPr>
        <w:t>仓配一体服务合同</w:t>
      </w:r>
    </w:p>
    <w:p w14:paraId="5EE6AD05">
      <w:pPr>
        <w:spacing w:line="200" w:lineRule="exact"/>
        <w:rPr>
          <w:rFonts w:hint="eastAsia" w:ascii="宋体" w:hAnsi="宋体" w:eastAsia="宋体" w:cs="宋体"/>
          <w:sz w:val="24"/>
          <w:szCs w:val="24"/>
        </w:rPr>
      </w:pPr>
    </w:p>
    <w:p w14:paraId="03F23E92">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合同编号：</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号</w:t>
      </w:r>
    </w:p>
    <w:p w14:paraId="1E4080E1">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签署日期：</w:t>
      </w:r>
      <w:r>
        <w:rPr>
          <w:rFonts w:hint="eastAsia" w:ascii="宋体" w:hAnsi="宋体" w:eastAsia="宋体" w:cs="宋体"/>
          <w:b w:val="0"/>
          <w:bCs w:val="0"/>
          <w:color w:val="auto"/>
          <w:sz w:val="24"/>
          <w:szCs w:val="24"/>
          <w:lang w:val="en-US" w:eastAsia="zh-CN"/>
        </w:rPr>
        <w:t>【                】</w:t>
      </w:r>
    </w:p>
    <w:p w14:paraId="5AC82747">
      <w:pPr>
        <w:spacing w:line="360" w:lineRule="auto"/>
        <w:ind w:firstLine="0" w:firstLineChars="0"/>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签署地点：</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市</w:t>
      </w:r>
      <w:r>
        <w:rPr>
          <w:rFonts w:hint="eastAsia" w:ascii="宋体" w:hAnsi="宋体" w:eastAsia="宋体" w:cs="宋体"/>
          <w:b w:val="0"/>
          <w:bCs w:val="0"/>
          <w:color w:val="auto"/>
          <w:sz w:val="24"/>
          <w:szCs w:val="24"/>
          <w:lang w:val="en-US" w:eastAsia="zh-CN"/>
        </w:rPr>
        <w:t>【    】区</w:t>
      </w:r>
    </w:p>
    <w:p w14:paraId="2F6584E5">
      <w:pPr>
        <w:spacing w:line="200" w:lineRule="exact"/>
        <w:rPr>
          <w:rFonts w:hint="eastAsia" w:ascii="宋体" w:hAnsi="宋体" w:eastAsia="宋体" w:cs="宋体"/>
          <w:sz w:val="24"/>
          <w:szCs w:val="24"/>
        </w:rPr>
      </w:pPr>
    </w:p>
    <w:p w14:paraId="0480BABC">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甲方</w:t>
      </w:r>
      <w:r>
        <w:rPr>
          <w:rFonts w:hint="eastAsia" w:ascii="宋体" w:hAnsi="宋体" w:eastAsia="宋体" w:cs="宋体"/>
          <w:b/>
          <w:sz w:val="24"/>
          <w:szCs w:val="24"/>
          <w:lang w:eastAsia="zh-CN"/>
        </w:rPr>
        <w:t>（委托方）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w:t>
      </w:r>
    </w:p>
    <w:p w14:paraId="11A606C8">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乙方</w:t>
      </w:r>
      <w:r>
        <w:rPr>
          <w:rFonts w:hint="eastAsia" w:ascii="宋体" w:hAnsi="宋体" w:eastAsia="宋体" w:cs="宋体"/>
          <w:b/>
          <w:sz w:val="24"/>
          <w:szCs w:val="24"/>
          <w:lang w:eastAsia="zh-CN"/>
        </w:rPr>
        <w:t>（服务方）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鲜生活     】</w:t>
      </w:r>
    </w:p>
    <w:p w14:paraId="7A5C21EE">
      <w:pPr>
        <w:spacing w:before="156" w:beforeLines="50" w:after="156" w:afterLines="50" w:line="360" w:lineRule="auto"/>
        <w:ind w:firstLine="0" w:firstLineChars="0"/>
        <w:rPr>
          <w:rFonts w:ascii="Times New Roman" w:hAnsi="Times New Roman"/>
          <w:sz w:val="24"/>
        </w:rPr>
      </w:pPr>
      <w:r>
        <w:rPr>
          <w:rFonts w:hint="eastAsia" w:ascii="黑体" w:hAnsi="黑体" w:eastAsia="黑体" w:cs="黑体"/>
          <w:sz w:val="43"/>
          <w:szCs w:val="43"/>
          <w:lang w:val="en-US" w:eastAsia="zh-CN"/>
        </w:rPr>
        <w:t xml:space="preserve">  </w:t>
      </w:r>
      <w:r>
        <w:rPr>
          <w:rFonts w:ascii="Times New Roman" w:hAnsi="Times New Roman" w:eastAsiaTheme="minorEastAsia"/>
          <w:sz w:val="24"/>
          <w:szCs w:val="24"/>
        </w:rPr>
        <w:t>依照《中华人民共和国</w:t>
      </w:r>
      <w:r>
        <w:rPr>
          <w:rFonts w:hint="eastAsia" w:ascii="Times New Roman" w:hAnsi="Times New Roman" w:eastAsiaTheme="minorEastAsia"/>
          <w:sz w:val="24"/>
          <w:szCs w:val="24"/>
          <w:lang w:eastAsia="zh-CN"/>
        </w:rPr>
        <w:t>民法典</w:t>
      </w:r>
      <w:r>
        <w:rPr>
          <w:rFonts w:ascii="Times New Roman" w:hAnsi="Times New Roman" w:eastAsiaTheme="minorEastAsia"/>
          <w:sz w:val="24"/>
          <w:szCs w:val="24"/>
        </w:rPr>
        <w:t>》及其它相关法律法规的规定，甲乙双方本着平等互惠的原则，在协商一致的基础上，就甲方委托乙方提供仓储及运输服务相关事宜达成如下协议，以资共同信守。</w:t>
      </w:r>
      <w:bookmarkStart w:id="0" w:name="_Toc392595791"/>
    </w:p>
    <w:p w14:paraId="74410F10">
      <w:pPr>
        <w:spacing w:before="156" w:beforeLines="50" w:after="156" w:afterLines="50" w:line="360" w:lineRule="auto"/>
        <w:ind w:firstLine="0" w:firstLineChars="0"/>
        <w:rPr>
          <w:rFonts w:ascii="Times New Roman" w:hAnsi="Times New Roman" w:eastAsiaTheme="minorEastAsia"/>
          <w:b/>
          <w:bCs/>
          <w:sz w:val="24"/>
          <w:szCs w:val="24"/>
        </w:rPr>
      </w:pPr>
      <w:r>
        <w:rPr>
          <w:rFonts w:ascii="Times New Roman" w:hAnsi="Times New Roman" w:eastAsiaTheme="minorEastAsia"/>
          <w:b/>
          <w:bCs/>
          <w:sz w:val="24"/>
          <w:szCs w:val="24"/>
        </w:rPr>
        <w:t>第一条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服务类型</w:t>
      </w:r>
    </w:p>
    <w:p w14:paraId="3D1040B6">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sz w:val="24"/>
        </w:rPr>
        <w:t>1.1</w:t>
      </w:r>
      <w:r>
        <w:rPr>
          <w:rFonts w:ascii="Times New Roman" w:hAnsi="Times New Roman" w:eastAsiaTheme="minorEastAsia"/>
          <w:sz w:val="24"/>
          <w:szCs w:val="24"/>
        </w:rPr>
        <w:t>运输服务</w:t>
      </w:r>
    </w:p>
    <w:p w14:paraId="587122AD">
      <w:pPr>
        <w:widowControl w:val="0"/>
        <w:spacing w:before="156" w:beforeLines="50" w:after="156" w:afterLines="50" w:line="360" w:lineRule="auto"/>
        <w:ind w:firstLine="480" w:firstLineChars="200"/>
        <w:jc w:val="both"/>
        <w:rPr>
          <w:rFonts w:ascii="Times New Roman" w:hAnsi="Times New Roman" w:eastAsiaTheme="minorEastAsia"/>
          <w:sz w:val="24"/>
          <w:szCs w:val="24"/>
        </w:rPr>
      </w:pPr>
      <w:r>
        <w:rPr>
          <w:rFonts w:ascii="Times New Roman" w:hAnsi="Times New Roman" w:eastAsiaTheme="minorEastAsia"/>
          <w:sz w:val="24"/>
          <w:szCs w:val="24"/>
        </w:rPr>
        <w:t>1.1.1乙方按照甲方运输订单要求，将甲方的货物运输到指定地点。乙方提供的运输服务内容包括：实物运输</w:t>
      </w:r>
      <w:r>
        <w:rPr>
          <w:rFonts w:hint="eastAsia" w:ascii="Times New Roman" w:hAnsi="Times New Roman" w:eastAsiaTheme="minorEastAsia"/>
          <w:sz w:val="24"/>
          <w:szCs w:val="24"/>
        </w:rPr>
        <w:t>和</w:t>
      </w:r>
      <w:r>
        <w:rPr>
          <w:rFonts w:ascii="Times New Roman" w:hAnsi="Times New Roman" w:eastAsiaTheme="minorEastAsia"/>
          <w:sz w:val="24"/>
          <w:szCs w:val="24"/>
        </w:rPr>
        <w:t>温度管理。</w:t>
      </w:r>
    </w:p>
    <w:p w14:paraId="318BAD67">
      <w:pPr>
        <w:widowControl w:val="0"/>
        <w:spacing w:before="156" w:beforeLines="50" w:after="156" w:afterLines="50" w:line="360" w:lineRule="auto"/>
        <w:ind w:firstLine="480" w:firstLineChars="200"/>
        <w:jc w:val="both"/>
        <w:rPr>
          <w:rFonts w:ascii="Times New Roman" w:hAnsi="Times New Roman"/>
          <w:sz w:val="24"/>
        </w:rPr>
      </w:pPr>
      <w:r>
        <w:rPr>
          <w:rFonts w:ascii="Times New Roman" w:hAnsi="Times New Roman" w:eastAsiaTheme="minorEastAsia"/>
          <w:sz w:val="24"/>
          <w:szCs w:val="24"/>
        </w:rPr>
        <w:t>1.1.2运输附加服务：</w:t>
      </w:r>
      <w:r>
        <w:rPr>
          <w:rFonts w:hint="eastAsia" w:ascii="Times New Roman" w:hAnsi="Times New Roman" w:eastAsiaTheme="minorEastAsia"/>
          <w:sz w:val="24"/>
          <w:szCs w:val="24"/>
        </w:rPr>
        <w:t>甲方需要乙方提供运输附加服务的，经双方协商确认，</w:t>
      </w:r>
      <w:r>
        <w:rPr>
          <w:rFonts w:ascii="Times New Roman" w:hAnsi="Times New Roman" w:eastAsiaTheme="minorEastAsia"/>
          <w:sz w:val="24"/>
          <w:szCs w:val="24"/>
        </w:rPr>
        <w:t>甲方按照附件一的《运输附加服务价格表》承担相应费用。</w:t>
      </w:r>
      <w:r>
        <w:rPr>
          <w:rFonts w:hint="eastAsia" w:ascii="Times New Roman" w:hAnsi="Times New Roman" w:eastAsiaTheme="minorEastAsia"/>
          <w:sz w:val="24"/>
          <w:szCs w:val="24"/>
        </w:rPr>
        <w:t>乙方应</w:t>
      </w:r>
      <w:r>
        <w:rPr>
          <w:rFonts w:ascii="Times New Roman" w:hAnsi="Times New Roman" w:eastAsiaTheme="minorEastAsia"/>
          <w:sz w:val="24"/>
          <w:szCs w:val="24"/>
        </w:rPr>
        <w:t>在</w:t>
      </w:r>
      <w:r>
        <w:rPr>
          <w:rFonts w:hint="eastAsia" w:ascii="Times New Roman" w:hAnsi="Times New Roman" w:eastAsiaTheme="minorEastAsia"/>
          <w:sz w:val="24"/>
          <w:szCs w:val="24"/>
        </w:rPr>
        <w:t>其出具的</w:t>
      </w:r>
      <w:r>
        <w:rPr>
          <w:rFonts w:ascii="Times New Roman" w:hAnsi="Times New Roman" w:eastAsiaTheme="minorEastAsia"/>
          <w:color w:val="000000"/>
          <w:sz w:val="24"/>
          <w:szCs w:val="24"/>
        </w:rPr>
        <w:t>《货物运输单》</w:t>
      </w:r>
      <w:r>
        <w:rPr>
          <w:rFonts w:hint="eastAsia" w:ascii="Times New Roman" w:hAnsi="Times New Roman" w:eastAsiaTheme="minorEastAsia"/>
          <w:color w:val="000000"/>
          <w:sz w:val="24"/>
          <w:szCs w:val="24"/>
        </w:rPr>
        <w:t>（详见附件二）</w:t>
      </w:r>
      <w:r>
        <w:rPr>
          <w:rFonts w:ascii="Times New Roman" w:hAnsi="Times New Roman" w:eastAsiaTheme="minorEastAsia"/>
          <w:sz w:val="24"/>
          <w:szCs w:val="24"/>
        </w:rPr>
        <w:t>中</w:t>
      </w:r>
      <w:r>
        <w:rPr>
          <w:rFonts w:hint="eastAsia" w:ascii="Times New Roman" w:hAnsi="Times New Roman" w:eastAsiaTheme="minorEastAsia"/>
          <w:sz w:val="24"/>
          <w:szCs w:val="24"/>
        </w:rPr>
        <w:t>载明双方约定的</w:t>
      </w:r>
      <w:r>
        <w:rPr>
          <w:rFonts w:ascii="Times New Roman" w:hAnsi="Times New Roman" w:eastAsiaTheme="minorEastAsia"/>
          <w:sz w:val="24"/>
          <w:szCs w:val="24"/>
        </w:rPr>
        <w:t>具体附加服务事项及费用</w:t>
      </w:r>
      <w:r>
        <w:rPr>
          <w:rFonts w:hint="eastAsia" w:ascii="Times New Roman" w:hAnsi="Times New Roman" w:eastAsiaTheme="minorEastAsia"/>
          <w:sz w:val="24"/>
          <w:szCs w:val="24"/>
        </w:rPr>
        <w:t>金额或收费标准</w:t>
      </w:r>
      <w:r>
        <w:rPr>
          <w:rFonts w:ascii="Times New Roman" w:hAnsi="Times New Roman" w:eastAsiaTheme="minorEastAsia"/>
          <w:sz w:val="24"/>
          <w:szCs w:val="24"/>
        </w:rPr>
        <w:t>。如甲方在乙方运输过程中提出</w:t>
      </w:r>
      <w:r>
        <w:rPr>
          <w:rFonts w:hint="eastAsia" w:ascii="Times New Roman" w:hAnsi="Times New Roman" w:eastAsiaTheme="minorEastAsia"/>
          <w:sz w:val="24"/>
          <w:szCs w:val="24"/>
        </w:rPr>
        <w:t>双方前期</w:t>
      </w:r>
      <w:r>
        <w:rPr>
          <w:rFonts w:ascii="Times New Roman" w:hAnsi="Times New Roman" w:eastAsiaTheme="minorEastAsia"/>
          <w:sz w:val="24"/>
          <w:szCs w:val="24"/>
        </w:rPr>
        <w:t>未约定的其他</w:t>
      </w:r>
      <w:r>
        <w:rPr>
          <w:rFonts w:hint="eastAsia" w:ascii="Times New Roman" w:hAnsi="Times New Roman" w:eastAsiaTheme="minorEastAsia"/>
          <w:sz w:val="24"/>
          <w:szCs w:val="24"/>
        </w:rPr>
        <w:t>附加</w:t>
      </w:r>
      <w:r>
        <w:rPr>
          <w:rFonts w:ascii="Times New Roman" w:hAnsi="Times New Roman" w:eastAsiaTheme="minorEastAsia"/>
          <w:sz w:val="24"/>
          <w:szCs w:val="24"/>
        </w:rPr>
        <w:t>服务，乙方有权根据实际运输情况确定是否接受，</w:t>
      </w:r>
      <w:r>
        <w:rPr>
          <w:rFonts w:hint="eastAsia" w:ascii="Times New Roman" w:hAnsi="Times New Roman" w:eastAsiaTheme="minorEastAsia"/>
          <w:sz w:val="24"/>
          <w:szCs w:val="24"/>
        </w:rPr>
        <w:t>乙方同意提供相关附加服务的，</w:t>
      </w:r>
      <w:r>
        <w:rPr>
          <w:rFonts w:ascii="Times New Roman" w:hAnsi="Times New Roman" w:eastAsiaTheme="minorEastAsia"/>
          <w:sz w:val="24"/>
          <w:szCs w:val="24"/>
        </w:rPr>
        <w:t>双方就服务内容、价格等</w:t>
      </w:r>
      <w:r>
        <w:rPr>
          <w:rFonts w:hint="eastAsia" w:ascii="Times New Roman" w:hAnsi="Times New Roman" w:eastAsiaTheme="minorEastAsia"/>
          <w:sz w:val="24"/>
          <w:szCs w:val="24"/>
        </w:rPr>
        <w:t>进行确认后，乙方按甲方要求提供相应附加服务并在《</w:t>
      </w:r>
      <w:r>
        <w:rPr>
          <w:rFonts w:ascii="Times New Roman" w:hAnsi="Times New Roman" w:eastAsiaTheme="minorEastAsia"/>
          <w:sz w:val="24"/>
          <w:szCs w:val="24"/>
        </w:rPr>
        <w:t>货物运输单</w:t>
      </w:r>
      <w:r>
        <w:rPr>
          <w:rFonts w:hint="eastAsia" w:ascii="Times New Roman" w:hAnsi="Times New Roman" w:eastAsiaTheme="minorEastAsia"/>
          <w:sz w:val="24"/>
          <w:szCs w:val="24"/>
        </w:rPr>
        <w:t>》中补充载明</w:t>
      </w:r>
      <w:r>
        <w:rPr>
          <w:rFonts w:ascii="Times New Roman" w:hAnsi="Times New Roman"/>
          <w:sz w:val="24"/>
        </w:rPr>
        <w:t>。</w:t>
      </w:r>
    </w:p>
    <w:p w14:paraId="575B0B68">
      <w:pPr>
        <w:spacing w:before="156" w:beforeLines="50" w:after="156" w:afterLines="50" w:line="360" w:lineRule="auto"/>
        <w:ind w:left="15" w:leftChars="7" w:firstLine="480" w:firstLineChars="200"/>
        <w:rPr>
          <w:rFonts w:ascii="Times New Roman" w:hAnsi="Times New Roman"/>
          <w:sz w:val="24"/>
        </w:rPr>
      </w:pPr>
      <w:r>
        <w:rPr>
          <w:rFonts w:ascii="Times New Roman" w:hAnsi="Times New Roman"/>
          <w:sz w:val="24"/>
        </w:rPr>
        <w:t xml:space="preserve">1.2 </w:t>
      </w:r>
      <w:r>
        <w:rPr>
          <w:rFonts w:ascii="Times New Roman" w:hAnsi="Times New Roman" w:eastAsiaTheme="minorEastAsia"/>
          <w:sz w:val="24"/>
          <w:szCs w:val="24"/>
        </w:rPr>
        <w:t>仓储服务</w:t>
      </w:r>
    </w:p>
    <w:p w14:paraId="6B0A5FF7">
      <w:pPr>
        <w:widowControl w:val="0"/>
        <w:spacing w:before="156" w:beforeLines="50" w:after="156" w:afterLines="50" w:line="360" w:lineRule="auto"/>
        <w:ind w:firstLine="480"/>
        <w:jc w:val="both"/>
        <w:rPr>
          <w:rFonts w:ascii="Times New Roman" w:hAnsi="Times New Roman" w:eastAsiaTheme="minorEastAsia"/>
          <w:sz w:val="24"/>
          <w:szCs w:val="24"/>
        </w:rPr>
      </w:pPr>
      <w:r>
        <w:rPr>
          <w:rFonts w:ascii="Times New Roman" w:hAnsi="Times New Roman" w:eastAsiaTheme="minorEastAsia"/>
          <w:sz w:val="24"/>
          <w:szCs w:val="24"/>
        </w:rPr>
        <w:t>1.2.1乙方为甲方提供冷链仓储服务，仓储服务内容包括但不限于货物的出入仓、装卸、分拣、包装、运输标签打印张贴、盘点、货品存储等服务，乙方根据甲方选择的服务项进行收费。</w:t>
      </w:r>
    </w:p>
    <w:p w14:paraId="6E33C38F">
      <w:pPr>
        <w:widowControl w:val="0"/>
        <w:spacing w:before="156" w:beforeLines="50" w:after="156" w:afterLines="50" w:line="360" w:lineRule="auto"/>
        <w:ind w:firstLine="480"/>
        <w:jc w:val="both"/>
        <w:rPr>
          <w:rFonts w:ascii="Times New Roman" w:hAnsi="Times New Roman" w:eastAsiaTheme="minorEastAsia"/>
          <w:sz w:val="24"/>
          <w:szCs w:val="24"/>
        </w:rPr>
      </w:pPr>
      <w:r>
        <w:rPr>
          <w:rFonts w:ascii="Times New Roman" w:hAnsi="Times New Roman" w:eastAsiaTheme="minorEastAsia"/>
          <w:sz w:val="24"/>
          <w:szCs w:val="24"/>
        </w:rPr>
        <w:t>1.2.2甲方需要使用的温区为：</w:t>
      </w:r>
    </w:p>
    <w:p w14:paraId="647C98C8">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sz w:val="24"/>
        </w:rPr>
        <w:t>□</w:t>
      </w:r>
      <w:r>
        <w:rPr>
          <w:rFonts w:ascii="Times New Roman" w:hAnsi="Times New Roman" w:eastAsiaTheme="minorEastAsia"/>
          <w:sz w:val="24"/>
          <w:szCs w:val="24"/>
        </w:rPr>
        <w:t>常温 主要商品:</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预计存储SKU数量</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个。</w:t>
      </w:r>
    </w:p>
    <w:p w14:paraId="5407D5C2">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□冷藏（温区为0-10℃</w:t>
      </w:r>
      <w:r>
        <w:rPr>
          <w:rFonts w:hint="eastAsia" w:ascii="Times New Roman" w:hAnsi="Times New Roman" w:eastAsiaTheme="minorEastAsia"/>
          <w:sz w:val="24"/>
          <w:szCs w:val="24"/>
        </w:rPr>
        <w:t>）</w:t>
      </w:r>
      <w:r>
        <w:rPr>
          <w:rFonts w:ascii="Times New Roman" w:hAnsi="Times New Roman" w:eastAsiaTheme="minorEastAsia"/>
          <w:sz w:val="24"/>
          <w:szCs w:val="24"/>
        </w:rPr>
        <w:t>：</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主要商品预计存储SKU数量</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个。</w:t>
      </w:r>
    </w:p>
    <w:p w14:paraId="04CBDBD5">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□冷冻（温区为-18℃</w:t>
      </w:r>
      <w:r>
        <w:rPr>
          <w:rFonts w:hint="eastAsia" w:ascii="Times New Roman" w:hAnsi="Times New Roman" w:eastAsiaTheme="minorEastAsia"/>
          <w:sz w:val="24"/>
          <w:szCs w:val="24"/>
        </w:rPr>
        <w:t>-</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w:t>
      </w:r>
      <w:r>
        <w:rPr>
          <w:rFonts w:ascii="Times New Roman" w:hAnsi="Times New Roman" w:eastAsiaTheme="minorEastAsia"/>
          <w:sz w:val="24"/>
          <w:szCs w:val="24"/>
        </w:rPr>
        <w:t>12℃</w:t>
      </w:r>
      <w:r>
        <w:rPr>
          <w:rFonts w:hint="eastAsia" w:ascii="Times New Roman" w:hAnsi="Times New Roman" w:eastAsiaTheme="minorEastAsia"/>
          <w:sz w:val="24"/>
          <w:szCs w:val="24"/>
        </w:rPr>
        <w:t>）</w:t>
      </w:r>
      <w:r>
        <w:rPr>
          <w:rFonts w:ascii="Times New Roman" w:hAnsi="Times New Roman" w:eastAsiaTheme="minorEastAsia"/>
          <w:sz w:val="24"/>
          <w:szCs w:val="24"/>
        </w:rPr>
        <w:t>：</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主要商品预计存储SKU数量</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个。</w:t>
      </w:r>
    </w:p>
    <w:p w14:paraId="2A63A1B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1.2.3仓储服务地址为：</w:t>
      </w:r>
    </w:p>
    <w:tbl>
      <w:tblPr>
        <w:tblStyle w:val="12"/>
        <w:tblW w:w="10314" w:type="dxa"/>
        <w:tblInd w:w="0" w:type="dxa"/>
        <w:tblLayout w:type="fixed"/>
        <w:tblCellMar>
          <w:top w:w="0" w:type="dxa"/>
          <w:left w:w="108" w:type="dxa"/>
          <w:bottom w:w="0" w:type="dxa"/>
          <w:right w:w="108" w:type="dxa"/>
        </w:tblCellMar>
      </w:tblPr>
      <w:tblGrid>
        <w:gridCol w:w="675"/>
        <w:gridCol w:w="993"/>
        <w:gridCol w:w="1984"/>
        <w:gridCol w:w="1843"/>
        <w:gridCol w:w="2693"/>
        <w:gridCol w:w="2126"/>
      </w:tblGrid>
      <w:tr w14:paraId="6CAB7F12">
        <w:tblPrEx>
          <w:tblCellMar>
            <w:top w:w="0" w:type="dxa"/>
            <w:left w:w="108" w:type="dxa"/>
            <w:bottom w:w="0" w:type="dxa"/>
            <w:right w:w="108" w:type="dxa"/>
          </w:tblCellMar>
        </w:tblPrEx>
        <w:trPr>
          <w:trHeight w:val="482" w:hRule="atLeast"/>
        </w:trPr>
        <w:tc>
          <w:tcPr>
            <w:tcW w:w="675" w:type="dxa"/>
            <w:tcBorders>
              <w:top w:val="single" w:color="auto" w:sz="8" w:space="0"/>
              <w:left w:val="single" w:color="auto" w:sz="8" w:space="0"/>
              <w:bottom w:val="single" w:color="auto" w:sz="8" w:space="0"/>
              <w:right w:val="single" w:color="auto" w:sz="8" w:space="0"/>
            </w:tcBorders>
            <w:vAlign w:val="center"/>
          </w:tcPr>
          <w:p w14:paraId="2859A60C">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序号</w:t>
            </w:r>
          </w:p>
        </w:tc>
        <w:tc>
          <w:tcPr>
            <w:tcW w:w="993" w:type="dxa"/>
            <w:tcBorders>
              <w:top w:val="single" w:color="auto" w:sz="8" w:space="0"/>
              <w:left w:val="nil"/>
              <w:bottom w:val="single" w:color="auto" w:sz="8" w:space="0"/>
              <w:right w:val="single" w:color="auto" w:sz="8" w:space="0"/>
            </w:tcBorders>
            <w:vAlign w:val="center"/>
          </w:tcPr>
          <w:p w14:paraId="593F533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城市</w:t>
            </w:r>
          </w:p>
        </w:tc>
        <w:tc>
          <w:tcPr>
            <w:tcW w:w="1984" w:type="dxa"/>
            <w:tcBorders>
              <w:top w:val="single" w:color="auto" w:sz="8" w:space="0"/>
              <w:left w:val="nil"/>
              <w:bottom w:val="single" w:color="auto" w:sz="8" w:space="0"/>
              <w:right w:val="single" w:color="auto" w:sz="8" w:space="0"/>
            </w:tcBorders>
            <w:vAlign w:val="center"/>
          </w:tcPr>
          <w:p w14:paraId="5C66264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仓库地址</w:t>
            </w:r>
          </w:p>
        </w:tc>
        <w:tc>
          <w:tcPr>
            <w:tcW w:w="1843" w:type="dxa"/>
            <w:tcBorders>
              <w:top w:val="single" w:color="auto" w:sz="8" w:space="0"/>
              <w:left w:val="nil"/>
              <w:bottom w:val="single" w:color="auto" w:sz="8" w:space="0"/>
              <w:right w:val="single" w:color="auto" w:sz="8" w:space="0"/>
            </w:tcBorders>
            <w:vAlign w:val="center"/>
          </w:tcPr>
          <w:p w14:paraId="1412BE36">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使用面积</w:t>
            </w:r>
          </w:p>
          <w:p w14:paraId="74BF7BBC">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（单位：平米）</w:t>
            </w:r>
          </w:p>
        </w:tc>
        <w:tc>
          <w:tcPr>
            <w:tcW w:w="2693" w:type="dxa"/>
            <w:tcBorders>
              <w:top w:val="single" w:color="auto" w:sz="8" w:space="0"/>
              <w:left w:val="nil"/>
              <w:bottom w:val="single" w:color="auto" w:sz="8" w:space="0"/>
              <w:right w:val="single" w:color="auto" w:sz="4" w:space="0"/>
            </w:tcBorders>
            <w:vAlign w:val="center"/>
          </w:tcPr>
          <w:p w14:paraId="1A1CDD98">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仓储服务时间</w:t>
            </w:r>
          </w:p>
        </w:tc>
        <w:tc>
          <w:tcPr>
            <w:tcW w:w="2126" w:type="dxa"/>
            <w:tcBorders>
              <w:top w:val="single" w:color="auto" w:sz="8" w:space="0"/>
              <w:left w:val="single" w:color="auto" w:sz="4" w:space="0"/>
              <w:bottom w:val="single" w:color="auto" w:sz="8" w:space="0"/>
              <w:right w:val="single" w:color="auto" w:sz="8" w:space="0"/>
            </w:tcBorders>
            <w:vAlign w:val="center"/>
          </w:tcPr>
          <w:p w14:paraId="3CD9BBCB">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备注</w:t>
            </w:r>
          </w:p>
        </w:tc>
      </w:tr>
      <w:tr w14:paraId="4701B347">
        <w:tblPrEx>
          <w:tblCellMar>
            <w:top w:w="0" w:type="dxa"/>
            <w:left w:w="108" w:type="dxa"/>
            <w:bottom w:w="0" w:type="dxa"/>
            <w:right w:w="108" w:type="dxa"/>
          </w:tblCellMar>
        </w:tblPrEx>
        <w:trPr>
          <w:trHeight w:val="482" w:hRule="atLeast"/>
        </w:trPr>
        <w:tc>
          <w:tcPr>
            <w:tcW w:w="675" w:type="dxa"/>
            <w:tcBorders>
              <w:top w:val="nil"/>
              <w:left w:val="single" w:color="auto" w:sz="8" w:space="0"/>
              <w:bottom w:val="single" w:color="auto" w:sz="8" w:space="0"/>
              <w:right w:val="single" w:color="auto" w:sz="8" w:space="0"/>
            </w:tcBorders>
            <w:vAlign w:val="center"/>
          </w:tcPr>
          <w:p w14:paraId="6CE31DB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1</w:t>
            </w:r>
          </w:p>
        </w:tc>
        <w:tc>
          <w:tcPr>
            <w:tcW w:w="993" w:type="dxa"/>
            <w:tcBorders>
              <w:top w:val="nil"/>
              <w:left w:val="nil"/>
              <w:bottom w:val="single" w:color="auto" w:sz="8" w:space="0"/>
              <w:right w:val="single" w:color="auto" w:sz="8" w:space="0"/>
            </w:tcBorders>
            <w:vAlign w:val="center"/>
          </w:tcPr>
          <w:p w14:paraId="4CF6CF67">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984" w:type="dxa"/>
            <w:tcBorders>
              <w:top w:val="nil"/>
              <w:left w:val="nil"/>
              <w:bottom w:val="single" w:color="auto" w:sz="8" w:space="0"/>
              <w:right w:val="single" w:color="auto" w:sz="8" w:space="0"/>
            </w:tcBorders>
            <w:vAlign w:val="center"/>
          </w:tcPr>
          <w:p w14:paraId="775DD3F9">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843" w:type="dxa"/>
            <w:tcBorders>
              <w:top w:val="nil"/>
              <w:left w:val="nil"/>
              <w:bottom w:val="single" w:color="auto" w:sz="8" w:space="0"/>
              <w:right w:val="single" w:color="auto" w:sz="8" w:space="0"/>
            </w:tcBorders>
            <w:vAlign w:val="center"/>
          </w:tcPr>
          <w:p w14:paraId="2200437A">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2693" w:type="dxa"/>
            <w:tcBorders>
              <w:top w:val="nil"/>
              <w:left w:val="nil"/>
              <w:bottom w:val="single" w:color="auto" w:sz="8" w:space="0"/>
              <w:right w:val="single" w:color="auto" w:sz="4" w:space="0"/>
            </w:tcBorders>
          </w:tcPr>
          <w:p w14:paraId="4A261114">
            <w:pPr>
              <w:spacing w:before="156" w:beforeLines="50" w:after="156" w:afterLines="50" w:line="360" w:lineRule="auto"/>
              <w:ind w:firstLine="0" w:firstLineChars="0"/>
              <w:rPr>
                <w:rFonts w:ascii="Times New Roman" w:hAnsi="Times New Roman" w:eastAsiaTheme="minorEastAsia"/>
                <w:sz w:val="24"/>
                <w:szCs w:val="24"/>
              </w:rPr>
            </w:pPr>
          </w:p>
        </w:tc>
        <w:tc>
          <w:tcPr>
            <w:tcW w:w="2126" w:type="dxa"/>
            <w:tcBorders>
              <w:top w:val="nil"/>
              <w:left w:val="single" w:color="auto" w:sz="4" w:space="0"/>
              <w:bottom w:val="single" w:color="auto" w:sz="8" w:space="0"/>
              <w:right w:val="single" w:color="auto" w:sz="8" w:space="0"/>
            </w:tcBorders>
            <w:vAlign w:val="center"/>
          </w:tcPr>
          <w:p w14:paraId="2169D076">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r>
      <w:tr w14:paraId="0885FD14">
        <w:tblPrEx>
          <w:tblCellMar>
            <w:top w:w="0" w:type="dxa"/>
            <w:left w:w="108" w:type="dxa"/>
            <w:bottom w:w="0" w:type="dxa"/>
            <w:right w:w="108" w:type="dxa"/>
          </w:tblCellMar>
        </w:tblPrEx>
        <w:trPr>
          <w:trHeight w:val="482" w:hRule="atLeast"/>
        </w:trPr>
        <w:tc>
          <w:tcPr>
            <w:tcW w:w="675" w:type="dxa"/>
            <w:tcBorders>
              <w:top w:val="nil"/>
              <w:left w:val="single" w:color="auto" w:sz="8" w:space="0"/>
              <w:bottom w:val="single" w:color="auto" w:sz="8" w:space="0"/>
              <w:right w:val="single" w:color="auto" w:sz="8" w:space="0"/>
            </w:tcBorders>
            <w:vAlign w:val="center"/>
          </w:tcPr>
          <w:p w14:paraId="1B624B7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2</w:t>
            </w:r>
          </w:p>
        </w:tc>
        <w:tc>
          <w:tcPr>
            <w:tcW w:w="993" w:type="dxa"/>
            <w:tcBorders>
              <w:top w:val="nil"/>
              <w:left w:val="nil"/>
              <w:bottom w:val="single" w:color="auto" w:sz="8" w:space="0"/>
              <w:right w:val="single" w:color="auto" w:sz="8" w:space="0"/>
            </w:tcBorders>
            <w:vAlign w:val="center"/>
          </w:tcPr>
          <w:p w14:paraId="5E7E1839">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984" w:type="dxa"/>
            <w:tcBorders>
              <w:top w:val="nil"/>
              <w:left w:val="nil"/>
              <w:bottom w:val="single" w:color="auto" w:sz="8" w:space="0"/>
              <w:right w:val="single" w:color="auto" w:sz="8" w:space="0"/>
            </w:tcBorders>
            <w:vAlign w:val="center"/>
          </w:tcPr>
          <w:p w14:paraId="15FA60A4">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843" w:type="dxa"/>
            <w:tcBorders>
              <w:top w:val="nil"/>
              <w:left w:val="nil"/>
              <w:bottom w:val="single" w:color="auto" w:sz="8" w:space="0"/>
              <w:right w:val="single" w:color="auto" w:sz="8" w:space="0"/>
            </w:tcBorders>
            <w:vAlign w:val="center"/>
          </w:tcPr>
          <w:p w14:paraId="63ED9EBD">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2693" w:type="dxa"/>
            <w:tcBorders>
              <w:top w:val="nil"/>
              <w:left w:val="nil"/>
              <w:bottom w:val="single" w:color="auto" w:sz="8" w:space="0"/>
              <w:right w:val="single" w:color="auto" w:sz="4" w:space="0"/>
            </w:tcBorders>
          </w:tcPr>
          <w:p w14:paraId="241AE00E">
            <w:pPr>
              <w:spacing w:before="156" w:beforeLines="50" w:after="156" w:afterLines="50" w:line="360" w:lineRule="auto"/>
              <w:ind w:firstLine="0" w:firstLineChars="0"/>
              <w:rPr>
                <w:rFonts w:ascii="Times New Roman" w:hAnsi="Times New Roman" w:eastAsiaTheme="minorEastAsia"/>
                <w:sz w:val="24"/>
                <w:szCs w:val="24"/>
              </w:rPr>
            </w:pPr>
          </w:p>
        </w:tc>
        <w:tc>
          <w:tcPr>
            <w:tcW w:w="2126" w:type="dxa"/>
            <w:tcBorders>
              <w:top w:val="nil"/>
              <w:left w:val="single" w:color="auto" w:sz="4" w:space="0"/>
              <w:bottom w:val="single" w:color="auto" w:sz="8" w:space="0"/>
              <w:right w:val="single" w:color="auto" w:sz="8" w:space="0"/>
            </w:tcBorders>
            <w:vAlign w:val="center"/>
          </w:tcPr>
          <w:p w14:paraId="1A21B9C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r>
      <w:tr w14:paraId="6E43150D">
        <w:tblPrEx>
          <w:tblCellMar>
            <w:top w:w="0" w:type="dxa"/>
            <w:left w:w="108" w:type="dxa"/>
            <w:bottom w:w="0" w:type="dxa"/>
            <w:right w:w="108" w:type="dxa"/>
          </w:tblCellMar>
        </w:tblPrEx>
        <w:trPr>
          <w:trHeight w:val="482" w:hRule="atLeast"/>
        </w:trPr>
        <w:tc>
          <w:tcPr>
            <w:tcW w:w="675" w:type="dxa"/>
            <w:tcBorders>
              <w:top w:val="nil"/>
              <w:left w:val="single" w:color="auto" w:sz="8" w:space="0"/>
              <w:bottom w:val="single" w:color="auto" w:sz="8" w:space="0"/>
              <w:right w:val="single" w:color="auto" w:sz="8" w:space="0"/>
            </w:tcBorders>
            <w:vAlign w:val="center"/>
          </w:tcPr>
          <w:p w14:paraId="67FFD33C">
            <w:pPr>
              <w:spacing w:before="156" w:beforeLines="50" w:after="156" w:afterLines="50" w:line="360" w:lineRule="auto"/>
              <w:ind w:firstLine="0" w:firstLineChars="0"/>
              <w:rPr>
                <w:rFonts w:ascii="Times New Roman" w:hAnsi="Times New Roman" w:eastAsiaTheme="minorEastAsia"/>
                <w:sz w:val="24"/>
                <w:szCs w:val="24"/>
              </w:rPr>
            </w:pPr>
          </w:p>
        </w:tc>
        <w:tc>
          <w:tcPr>
            <w:tcW w:w="993" w:type="dxa"/>
            <w:tcBorders>
              <w:top w:val="nil"/>
              <w:left w:val="nil"/>
              <w:bottom w:val="single" w:color="auto" w:sz="8" w:space="0"/>
              <w:right w:val="single" w:color="auto" w:sz="8" w:space="0"/>
            </w:tcBorders>
            <w:vAlign w:val="center"/>
          </w:tcPr>
          <w:p w14:paraId="6E6E48CD">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984" w:type="dxa"/>
            <w:tcBorders>
              <w:top w:val="nil"/>
              <w:left w:val="nil"/>
              <w:bottom w:val="single" w:color="auto" w:sz="8" w:space="0"/>
              <w:right w:val="single" w:color="auto" w:sz="8" w:space="0"/>
            </w:tcBorders>
            <w:vAlign w:val="center"/>
          </w:tcPr>
          <w:p w14:paraId="22CF9969">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843" w:type="dxa"/>
            <w:tcBorders>
              <w:top w:val="nil"/>
              <w:left w:val="nil"/>
              <w:bottom w:val="single" w:color="auto" w:sz="8" w:space="0"/>
              <w:right w:val="single" w:color="auto" w:sz="8" w:space="0"/>
            </w:tcBorders>
            <w:vAlign w:val="center"/>
          </w:tcPr>
          <w:p w14:paraId="6FC392CD">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2693" w:type="dxa"/>
            <w:tcBorders>
              <w:top w:val="nil"/>
              <w:left w:val="nil"/>
              <w:bottom w:val="single" w:color="auto" w:sz="8" w:space="0"/>
              <w:right w:val="single" w:color="auto" w:sz="4" w:space="0"/>
            </w:tcBorders>
          </w:tcPr>
          <w:p w14:paraId="11ABF62F">
            <w:pPr>
              <w:spacing w:before="156" w:beforeLines="50" w:after="156" w:afterLines="50" w:line="360" w:lineRule="auto"/>
              <w:ind w:firstLine="0" w:firstLineChars="0"/>
              <w:rPr>
                <w:rFonts w:ascii="Times New Roman" w:hAnsi="Times New Roman" w:eastAsiaTheme="minorEastAsia"/>
                <w:sz w:val="24"/>
                <w:szCs w:val="24"/>
              </w:rPr>
            </w:pPr>
          </w:p>
        </w:tc>
        <w:tc>
          <w:tcPr>
            <w:tcW w:w="2126" w:type="dxa"/>
            <w:tcBorders>
              <w:top w:val="nil"/>
              <w:left w:val="single" w:color="auto" w:sz="4" w:space="0"/>
              <w:bottom w:val="single" w:color="auto" w:sz="8" w:space="0"/>
              <w:right w:val="single" w:color="auto" w:sz="8" w:space="0"/>
            </w:tcBorders>
            <w:vAlign w:val="center"/>
          </w:tcPr>
          <w:p w14:paraId="29377C80">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r>
    </w:tbl>
    <w:p w14:paraId="433A01C7">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如乙方仓储地址变动，乙方须提前</w:t>
      </w:r>
      <w:r>
        <w:rPr>
          <w:rFonts w:hint="eastAsia" w:ascii="Times New Roman" w:hAnsi="Times New Roman" w:eastAsiaTheme="minorEastAsia"/>
          <w:sz w:val="24"/>
          <w:szCs w:val="24"/>
          <w:lang w:val="en-US" w:eastAsia="zh-CN"/>
        </w:rPr>
        <w:t>15</w:t>
      </w:r>
      <w:r>
        <w:rPr>
          <w:rFonts w:ascii="Times New Roman" w:hAnsi="Times New Roman" w:eastAsiaTheme="minorEastAsia"/>
          <w:sz w:val="24"/>
          <w:szCs w:val="24"/>
        </w:rPr>
        <w:t>日通知甲方。</w:t>
      </w:r>
    </w:p>
    <w:bookmarkEnd w:id="0"/>
    <w:p w14:paraId="5EAD9CED">
      <w:pPr>
        <w:spacing w:before="156" w:beforeLines="50" w:after="156" w:afterLines="50" w:line="360" w:lineRule="auto"/>
        <w:ind w:firstLine="0" w:firstLineChars="0"/>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第二条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服务内容及标准</w:t>
      </w:r>
    </w:p>
    <w:p w14:paraId="218DD36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2.1货物入库及标准</w:t>
      </w:r>
    </w:p>
    <w:p w14:paraId="5644F69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2.1.1入库预约：甲方应在货物入库乙方仓库前24小时通过乙方系统或邮件向乙方发送《入库订单》，将所存货物的品名、数量、规格、货物价值、到货时间等信息告知乙方，与乙方进行仓库预约。甲方到货后，乙方指定联系人根据《入库订单》填写的温度要求、数量、品种、规格等信息对入库货物进行清点核对，核对无误后开具《入库单》，并邮件发送甲方确认。如甲方不能按照《入库订单》预约的时间到货，甲方应提前与乙方联系进行协调，乙方视实际工作任务情况另行确定入库时间。</w:t>
      </w:r>
    </w:p>
    <w:p w14:paraId="3426DBB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2.1.2 入库标准：甲方需在签署本合同时向乙方提供相应储存货物的入库标准，包括但不限于外包装、产品温度、品名、规格、数量、保质期等内容，并提供仓储物所需附加服务的操作标准。乙方根据甲方提供的标准进行收货入库。如甲方未提供标准，则乙方有权按自有标准权衡商品是否合格并作出相应处理，如乙方认为乙方提供的存储货物不符合乙方入库标准，乙方可拒绝收货，与甲方协商解决。</w:t>
      </w:r>
    </w:p>
    <w:p w14:paraId="003853B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2.1.3乙方只对《入库订单》载明的收货入库的货物数量负责，不对货物本身的品质、理化性质、性能等自然属性负责，甲方对此无异议。如实际到货数量与甲方《入库订单》数量不符或货物有异常现象，乙方有权拒绝入库，同时</w:t>
      </w:r>
      <w:r>
        <w:rPr>
          <w:rFonts w:hint="eastAsia" w:ascii="Times New Roman" w:hAnsi="Times New Roman" w:eastAsiaTheme="minorEastAsia"/>
          <w:sz w:val="24"/>
          <w:szCs w:val="24"/>
        </w:rPr>
        <w:t>通过</w:t>
      </w:r>
      <w:r>
        <w:rPr>
          <w:rFonts w:ascii="Times New Roman" w:hAnsi="Times New Roman" w:eastAsiaTheme="minorEastAsia"/>
          <w:sz w:val="24"/>
          <w:szCs w:val="24"/>
        </w:rPr>
        <w:t>邮件</w:t>
      </w:r>
      <w:r>
        <w:rPr>
          <w:rFonts w:hint="eastAsia" w:ascii="Times New Roman" w:hAnsi="Times New Roman" w:eastAsiaTheme="minorEastAsia"/>
          <w:sz w:val="24"/>
          <w:szCs w:val="24"/>
        </w:rPr>
        <w:t>、短信等方式</w:t>
      </w:r>
      <w:r>
        <w:rPr>
          <w:rFonts w:ascii="Times New Roman" w:hAnsi="Times New Roman" w:eastAsiaTheme="minorEastAsia"/>
          <w:sz w:val="24"/>
          <w:szCs w:val="24"/>
        </w:rPr>
        <w:t>通知甲方联系人。如甲方确认根据实际到货数量进行入库，乙方最终以实际入库货物数量为标准出具《入库单》，乙方不对原《入库订单》内容负责。</w:t>
      </w:r>
      <w:r>
        <w:rPr>
          <w:rFonts w:hint="eastAsia" w:ascii="Times New Roman" w:hAnsi="Times New Roman" w:eastAsiaTheme="minorEastAsia"/>
          <w:sz w:val="24"/>
          <w:szCs w:val="24"/>
        </w:rPr>
        <w:t>乙方应在《入库单》中载明甲方要求的附加服务及要求，并明确具体费用。《入库单》应发送电子版给甲方。</w:t>
      </w:r>
    </w:p>
    <w:p w14:paraId="74A5D05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2.2 货物出库及标准</w:t>
      </w:r>
    </w:p>
    <w:p w14:paraId="5C046C5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2.2.1出库预约：甲方需在货物出库前24小时通过乙方系统或邮件向乙方发送《出库订单》，将出库货物的品名、数量、规格、收货人地址电话、货物价值、出库时间等信息告知乙方，与乙方进行出库预约。乙方收到甲方的《出库订单》后，根据实际订单安排确认是否可以按甲方要求的时间出库。</w:t>
      </w:r>
    </w:p>
    <w:p w14:paraId="314FA4E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2.2.2出库流程：乙方根据甲方提供的《出库订单》明细对货物进行出库操作，货品交接完成之后须</w:t>
      </w:r>
      <w:r>
        <w:rPr>
          <w:rFonts w:hint="eastAsia" w:ascii="Times New Roman" w:hAnsi="Times New Roman" w:eastAsiaTheme="minorEastAsia"/>
          <w:sz w:val="24"/>
          <w:szCs w:val="24"/>
        </w:rPr>
        <w:t>由运输</w:t>
      </w:r>
      <w:r>
        <w:rPr>
          <w:rFonts w:ascii="Times New Roman" w:hAnsi="Times New Roman" w:eastAsiaTheme="minorEastAsia"/>
          <w:sz w:val="24"/>
          <w:szCs w:val="24"/>
        </w:rPr>
        <w:t>交接人确认签字。《出库订单》一式两份，签字后</w:t>
      </w:r>
      <w:r>
        <w:rPr>
          <w:rFonts w:hint="eastAsia" w:ascii="Times New Roman" w:hAnsi="Times New Roman" w:eastAsiaTheme="minorEastAsia"/>
          <w:sz w:val="24"/>
          <w:szCs w:val="24"/>
        </w:rPr>
        <w:t>运输交接人及</w:t>
      </w:r>
      <w:r>
        <w:rPr>
          <w:rFonts w:ascii="Times New Roman" w:hAnsi="Times New Roman" w:eastAsiaTheme="minorEastAsia"/>
          <w:sz w:val="24"/>
          <w:szCs w:val="24"/>
        </w:rPr>
        <w:t>乙方</w:t>
      </w:r>
      <w:r>
        <w:rPr>
          <w:rFonts w:hint="eastAsia" w:ascii="Times New Roman" w:hAnsi="Times New Roman" w:eastAsiaTheme="minorEastAsia"/>
          <w:sz w:val="24"/>
          <w:szCs w:val="24"/>
        </w:rPr>
        <w:t>各</w:t>
      </w:r>
      <w:r>
        <w:rPr>
          <w:rFonts w:ascii="Times New Roman" w:hAnsi="Times New Roman" w:eastAsiaTheme="minorEastAsia"/>
          <w:sz w:val="24"/>
          <w:szCs w:val="24"/>
        </w:rPr>
        <w:t>留存一份</w:t>
      </w:r>
      <w:r>
        <w:rPr>
          <w:rFonts w:hint="eastAsia" w:ascii="Times New Roman" w:hAnsi="Times New Roman" w:eastAsiaTheme="minorEastAsia"/>
          <w:sz w:val="24"/>
          <w:szCs w:val="24"/>
        </w:rPr>
        <w:t>，并发送电子版给甲方</w:t>
      </w:r>
      <w:r>
        <w:rPr>
          <w:rFonts w:ascii="Times New Roman" w:hAnsi="Times New Roman" w:eastAsiaTheme="minorEastAsia"/>
          <w:sz w:val="24"/>
          <w:szCs w:val="24"/>
        </w:rPr>
        <w:t>。</w:t>
      </w:r>
    </w:p>
    <w:p w14:paraId="22127D39">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退货：因货物本身质量问题等非乙方原因造成的退货，甲方应通过乙方系统或邮件向乙方发送《退货订单》。《退货订单》内容包括：客户名称、订单号、收货方地址、收货人、电话、品名、规格、单位、数量、退货时温度、退货原因等信息。乙方根据甲方提供的《退货订单》进行</w:t>
      </w:r>
      <w:r>
        <w:rPr>
          <w:rFonts w:hint="eastAsia" w:ascii="Times New Roman" w:hAnsi="Times New Roman" w:eastAsiaTheme="minorEastAsia"/>
          <w:sz w:val="24"/>
          <w:szCs w:val="24"/>
        </w:rPr>
        <w:t>收货和处理，具体处理方式按照本合同第4</w:t>
      </w:r>
      <w:r>
        <w:rPr>
          <w:rFonts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条</w:t>
      </w:r>
      <w:r>
        <w:rPr>
          <w:rFonts w:hint="eastAsia" w:ascii="Times New Roman" w:hAnsi="Times New Roman" w:eastAsiaTheme="minorEastAsia"/>
          <w:sz w:val="24"/>
          <w:szCs w:val="24"/>
          <w:lang w:eastAsia="zh-CN"/>
        </w:rPr>
        <w:t>执行</w:t>
      </w:r>
      <w:r>
        <w:rPr>
          <w:rFonts w:ascii="Times New Roman" w:hAnsi="Times New Roman" w:eastAsiaTheme="minorEastAsia"/>
          <w:sz w:val="24"/>
          <w:szCs w:val="24"/>
        </w:rPr>
        <w:t>。</w:t>
      </w:r>
    </w:p>
    <w:p w14:paraId="7206EE2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2.4</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盘点：乙方每月对甲方存储货物进行盘点，并向甲方邮件发送一份截</w:t>
      </w:r>
      <w:r>
        <w:rPr>
          <w:rFonts w:hint="eastAsia" w:ascii="Times New Roman" w:hAnsi="Times New Roman" w:eastAsiaTheme="minorEastAsia"/>
          <w:sz w:val="24"/>
          <w:szCs w:val="24"/>
          <w:lang w:eastAsia="zh-CN"/>
        </w:rPr>
        <w:t>至</w:t>
      </w:r>
      <w:r>
        <w:rPr>
          <w:rFonts w:ascii="Times New Roman" w:hAnsi="Times New Roman" w:eastAsiaTheme="minorEastAsia"/>
          <w:sz w:val="24"/>
          <w:szCs w:val="24"/>
        </w:rPr>
        <w:t>上月底最后一天的《货物盘点明细表》（以下简称</w:t>
      </w:r>
      <w:r>
        <w:rPr>
          <w:rFonts w:hint="eastAsia" w:ascii="Times New Roman" w:hAnsi="Times New Roman" w:eastAsiaTheme="minorEastAsia"/>
          <w:sz w:val="24"/>
          <w:szCs w:val="24"/>
        </w:rPr>
        <w:t>“</w:t>
      </w:r>
      <w:r>
        <w:rPr>
          <w:rFonts w:ascii="Times New Roman" w:hAnsi="Times New Roman" w:eastAsiaTheme="minorEastAsia"/>
          <w:sz w:val="24"/>
          <w:szCs w:val="24"/>
        </w:rPr>
        <w:t>《明细表》</w:t>
      </w:r>
      <w:r>
        <w:rPr>
          <w:rFonts w:hint="eastAsia" w:ascii="Times New Roman" w:hAnsi="Times New Roman" w:eastAsiaTheme="minorEastAsia"/>
          <w:sz w:val="24"/>
          <w:szCs w:val="24"/>
        </w:rPr>
        <w:t>”</w:t>
      </w:r>
      <w:r>
        <w:rPr>
          <w:rFonts w:ascii="Times New Roman" w:hAnsi="Times New Roman" w:eastAsiaTheme="minorEastAsia"/>
          <w:sz w:val="24"/>
          <w:szCs w:val="24"/>
        </w:rPr>
        <w:t>）。如货物有异常，甲方需向乙方及时提出，双方核对确认。甲方自收到《明细表》之日起3日内未提出异议的，则视为甲方认同确认《明细表》内容，甲方应签署《明细表》并扫描给乙方。若甲方要求增加盘点次数，乙方可按甲方要求进行有偿盘点，具体费用由双方协商。</w:t>
      </w:r>
    </w:p>
    <w:p w14:paraId="68D553E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2.5 运输服务流程</w:t>
      </w:r>
    </w:p>
    <w:p w14:paraId="3C7E2229">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2.5.1 货物发运要求</w:t>
      </w:r>
    </w:p>
    <w:p w14:paraId="79D8244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乙方按照</w:t>
      </w:r>
      <w:r>
        <w:rPr>
          <w:rFonts w:hint="eastAsia" w:ascii="Times New Roman" w:hAnsi="Times New Roman" w:eastAsiaTheme="minorEastAsia"/>
          <w:sz w:val="24"/>
          <w:szCs w:val="24"/>
        </w:rPr>
        <w:t>甲方《出库订单》</w:t>
      </w:r>
      <w:r>
        <w:rPr>
          <w:rFonts w:ascii="Times New Roman" w:hAnsi="Times New Roman" w:eastAsiaTheme="minorEastAsia"/>
          <w:sz w:val="24"/>
          <w:szCs w:val="24"/>
        </w:rPr>
        <w:t>要求将货物分拣出库之后，起运前双方须通过邮件</w:t>
      </w:r>
      <w:r>
        <w:rPr>
          <w:rFonts w:hint="eastAsia" w:ascii="Times New Roman" w:hAnsi="Times New Roman" w:eastAsiaTheme="minorEastAsia"/>
          <w:sz w:val="24"/>
          <w:szCs w:val="24"/>
          <w:lang w:eastAsia="zh-CN"/>
        </w:rPr>
        <w:t>、微信或其他方式</w:t>
      </w:r>
      <w:r>
        <w:rPr>
          <w:rFonts w:ascii="Times New Roman" w:hAnsi="Times New Roman" w:eastAsiaTheme="minorEastAsia"/>
          <w:sz w:val="24"/>
          <w:szCs w:val="24"/>
        </w:rPr>
        <w:t>确认当批次货物的发货通知、运输司机的联系方式并共同确认该批次货物的毛重，乙</w:t>
      </w:r>
      <w:r>
        <w:rPr>
          <w:rFonts w:hint="eastAsia" w:ascii="Times New Roman" w:hAnsi="Times New Roman" w:eastAsiaTheme="minorEastAsia"/>
          <w:sz w:val="24"/>
          <w:szCs w:val="24"/>
        </w:rPr>
        <w:t>方</w:t>
      </w:r>
      <w:r>
        <w:rPr>
          <w:rFonts w:ascii="Times New Roman" w:hAnsi="Times New Roman" w:eastAsiaTheme="minorEastAsia"/>
          <w:sz w:val="24"/>
          <w:szCs w:val="24"/>
        </w:rPr>
        <w:t>填写双方确认的货物毛重后打印《货物运输单》，《货物运输单》随货物一同起运。甲方委托运输的物品包装需符合运输标准，对于包装不符合运输标准的物品，乙方有权告知甲方加固包装。如甲方委托乙方重新进行包装，则甲方需支付乙方由此产生的包装费用；如甲方不同意加固包装，乙方有权拒绝发运。</w:t>
      </w:r>
    </w:p>
    <w:p w14:paraId="72FE856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2.5.2 货物的签收</w:t>
      </w:r>
    </w:p>
    <w:p w14:paraId="1BB401A0">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（1）收货人签收：</w:t>
      </w:r>
      <w:r>
        <w:rPr>
          <w:rFonts w:ascii="Times New Roman" w:hAnsi="Times New Roman" w:eastAsiaTheme="minorEastAsia"/>
          <w:sz w:val="24"/>
          <w:szCs w:val="24"/>
        </w:rPr>
        <w:t>乙方将货物送达甲方指定收货地点后，与甲方指定收货人共同进行验收，</w:t>
      </w:r>
      <w:r>
        <w:rPr>
          <w:rFonts w:ascii="Times New Roman" w:hAnsi="Times New Roman" w:eastAsiaTheme="minorEastAsia"/>
          <w:sz w:val="24"/>
          <w:szCs w:val="24"/>
          <w:lang w:val="zh-CN"/>
        </w:rPr>
        <w:t>验收要素为货物的温度、外包装及数量，</w:t>
      </w:r>
      <w:r>
        <w:rPr>
          <w:rFonts w:hint="eastAsia" w:ascii="Times New Roman" w:hAnsi="Times New Roman" w:eastAsiaTheme="minorEastAsia"/>
          <w:sz w:val="24"/>
          <w:szCs w:val="24"/>
          <w:lang w:val="zh-CN"/>
        </w:rPr>
        <w:t>验收完毕收货人应</w:t>
      </w:r>
      <w:r>
        <w:rPr>
          <w:rFonts w:hint="eastAsia" w:ascii="Times New Roman" w:hAnsi="Times New Roman" w:eastAsiaTheme="minorEastAsia"/>
          <w:sz w:val="24"/>
          <w:szCs w:val="24"/>
        </w:rPr>
        <w:t>签署《货物运输单》的收货联，</w:t>
      </w:r>
      <w:r>
        <w:rPr>
          <w:rFonts w:ascii="Times New Roman" w:hAnsi="Times New Roman" w:eastAsiaTheme="minorEastAsia"/>
          <w:sz w:val="24"/>
          <w:szCs w:val="24"/>
        </w:rPr>
        <w:t>视为乙方已</w:t>
      </w:r>
      <w:r>
        <w:rPr>
          <w:rFonts w:hint="eastAsia" w:ascii="Times New Roman" w:hAnsi="Times New Roman" w:eastAsiaTheme="minorEastAsia"/>
          <w:sz w:val="24"/>
          <w:szCs w:val="24"/>
        </w:rPr>
        <w:t>交付货物并</w:t>
      </w:r>
      <w:r>
        <w:rPr>
          <w:rFonts w:ascii="Times New Roman" w:hAnsi="Times New Roman" w:eastAsiaTheme="minorEastAsia"/>
          <w:sz w:val="24"/>
          <w:szCs w:val="24"/>
        </w:rPr>
        <w:t>履行完</w:t>
      </w:r>
      <w:r>
        <w:rPr>
          <w:rFonts w:hint="eastAsia" w:ascii="Times New Roman" w:hAnsi="Times New Roman" w:eastAsiaTheme="minorEastAsia"/>
          <w:sz w:val="24"/>
          <w:szCs w:val="24"/>
        </w:rPr>
        <w:t>当</w:t>
      </w:r>
      <w:r>
        <w:rPr>
          <w:rFonts w:ascii="Times New Roman" w:hAnsi="Times New Roman" w:eastAsiaTheme="minorEastAsia"/>
          <w:sz w:val="24"/>
          <w:szCs w:val="24"/>
        </w:rPr>
        <w:t>次</w:t>
      </w:r>
      <w:r>
        <w:rPr>
          <w:rFonts w:hint="eastAsia" w:ascii="Times New Roman" w:hAnsi="Times New Roman" w:eastAsiaTheme="minorEastAsia"/>
          <w:sz w:val="24"/>
          <w:szCs w:val="24"/>
        </w:rPr>
        <w:t>运输服务</w:t>
      </w:r>
      <w:r>
        <w:rPr>
          <w:rFonts w:ascii="Times New Roman" w:hAnsi="Times New Roman" w:eastAsiaTheme="minorEastAsia"/>
          <w:sz w:val="24"/>
          <w:szCs w:val="24"/>
          <w:lang w:val="zh-CN"/>
        </w:rPr>
        <w:t>。凡外观完好的货物，视为内部完好无损，包装内部商品品质由甲方自行验收并承担相应责任。</w:t>
      </w:r>
      <w:r>
        <w:rPr>
          <w:rFonts w:ascii="Times New Roman" w:hAnsi="Times New Roman" w:eastAsiaTheme="minorEastAsia"/>
          <w:sz w:val="24"/>
          <w:szCs w:val="24"/>
        </w:rPr>
        <w:t>乙方</w:t>
      </w:r>
      <w:r>
        <w:rPr>
          <w:rFonts w:hint="eastAsia" w:ascii="Times New Roman" w:hAnsi="Times New Roman" w:eastAsiaTheme="minorEastAsia"/>
          <w:sz w:val="24"/>
          <w:szCs w:val="24"/>
        </w:rPr>
        <w:t>需</w:t>
      </w:r>
      <w:r>
        <w:rPr>
          <w:rFonts w:ascii="Times New Roman" w:hAnsi="Times New Roman" w:eastAsiaTheme="minorEastAsia"/>
          <w:sz w:val="24"/>
          <w:szCs w:val="24"/>
        </w:rPr>
        <w:t>将收货人</w:t>
      </w:r>
      <w:r>
        <w:rPr>
          <w:rFonts w:hint="eastAsia" w:ascii="Times New Roman" w:hAnsi="Times New Roman" w:eastAsiaTheme="minorEastAsia"/>
          <w:sz w:val="24"/>
          <w:szCs w:val="24"/>
        </w:rPr>
        <w:t>签署的《货物运输单》</w:t>
      </w:r>
      <w:r>
        <w:rPr>
          <w:rFonts w:ascii="Times New Roman" w:hAnsi="Times New Roman" w:eastAsiaTheme="minorEastAsia"/>
          <w:sz w:val="24"/>
          <w:szCs w:val="24"/>
        </w:rPr>
        <w:t>及时</w:t>
      </w:r>
      <w:r>
        <w:rPr>
          <w:rFonts w:hint="eastAsia" w:ascii="Times New Roman" w:hAnsi="Times New Roman" w:eastAsiaTheme="minorEastAsia"/>
          <w:sz w:val="24"/>
          <w:szCs w:val="24"/>
        </w:rPr>
        <w:t>发送给甲方</w:t>
      </w:r>
      <w:r>
        <w:rPr>
          <w:rFonts w:ascii="Times New Roman" w:hAnsi="Times New Roman" w:eastAsiaTheme="minorEastAsia"/>
          <w:sz w:val="24"/>
          <w:szCs w:val="24"/>
        </w:rPr>
        <w:t>。</w:t>
      </w:r>
    </w:p>
    <w:p w14:paraId="42CF4DDA">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（2）无人签收：根据双方协商一致，甲方同意不指定专人对运输货物进行签收，乙方将甲方</w:t>
      </w:r>
      <w:r>
        <w:rPr>
          <w:rFonts w:hint="eastAsia" w:ascii="Times New Roman" w:hAnsi="Times New Roman" w:eastAsiaTheme="minorEastAsia"/>
          <w:sz w:val="24"/>
          <w:szCs w:val="24"/>
          <w:lang w:eastAsia="zh-CN"/>
        </w:rPr>
        <w:t>货物</w:t>
      </w:r>
      <w:r>
        <w:rPr>
          <w:rFonts w:hint="eastAsia" w:ascii="Times New Roman" w:hAnsi="Times New Roman" w:eastAsiaTheme="minorEastAsia"/>
          <w:sz w:val="24"/>
          <w:szCs w:val="24"/>
        </w:rPr>
        <w:t>运送至甲方指定地点即视为完成交付及当次运输服务。甲方应及时对货物进行收取，如因甲方未及时取货造成货物损坏、灭失的，乙方不承担任何责任。</w:t>
      </w:r>
    </w:p>
    <w:p w14:paraId="429E4CCD">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 xml:space="preserve"> 2.5.3 运输信息变更                                                           </w:t>
      </w:r>
    </w:p>
    <w:p w14:paraId="199E6F12">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（1）货物起运前，如甲方临时增加或变更卸货点、配送时间等信息，需与乙方提前以邮件等书面形式确认，经乙方确认变更后，双方应通过邮件</w:t>
      </w:r>
      <w:r>
        <w:rPr>
          <w:rFonts w:hint="eastAsia" w:ascii="Times New Roman" w:hAnsi="Times New Roman" w:eastAsiaTheme="minorEastAsia"/>
          <w:sz w:val="24"/>
          <w:szCs w:val="24"/>
          <w:lang w:eastAsia="zh-CN"/>
        </w:rPr>
        <w:t>等方式</w:t>
      </w:r>
      <w:r>
        <w:rPr>
          <w:rFonts w:ascii="Times New Roman" w:hAnsi="Times New Roman" w:eastAsiaTheme="minorEastAsia"/>
          <w:sz w:val="24"/>
          <w:szCs w:val="24"/>
        </w:rPr>
        <w:t>对变更后的运输费用进行确认，并对《货物运输单》内容进行相应变更。</w:t>
      </w:r>
    </w:p>
    <w:p w14:paraId="37C04D02">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（2）货物运输途中，如甲方临时增加或变更卸货点、配送时间等信息，</w:t>
      </w:r>
      <w:r>
        <w:rPr>
          <w:rFonts w:hint="eastAsia" w:ascii="Times New Roman" w:hAnsi="Times New Roman" w:eastAsiaTheme="minorEastAsia"/>
          <w:sz w:val="24"/>
          <w:szCs w:val="24"/>
        </w:rPr>
        <w:t>需由发货人及时与乙方联系，乙方确认同意变更且双方就甲方额外需承担的费用达成一致后进行相应调整。</w:t>
      </w:r>
    </w:p>
    <w:p w14:paraId="3FE73FA3">
      <w:pPr>
        <w:spacing w:before="156" w:beforeLines="50" w:after="156" w:afterLines="50"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第三条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甲方的权利与义务</w:t>
      </w:r>
    </w:p>
    <w:p w14:paraId="30466B4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 仓储模块</w:t>
      </w:r>
    </w:p>
    <w:p w14:paraId="1B265C4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3.1.1 对于甲方存储在乙方仓库的货物，未经甲方同意，乙方不得向其他方透露其货物信息。</w:t>
      </w:r>
    </w:p>
    <w:p w14:paraId="433D3318">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3.1.2 若因乙方过错导致存储货物出现变质等情况，甲方享有在第一时间知悉实际情况的权利，同时根据产品</w:t>
      </w:r>
      <w:r>
        <w:rPr>
          <w:rFonts w:hint="eastAsia" w:ascii="Times New Roman" w:hAnsi="Times New Roman" w:eastAsiaTheme="minorEastAsia"/>
          <w:sz w:val="24"/>
          <w:szCs w:val="24"/>
        </w:rPr>
        <w:t>原</w:t>
      </w:r>
      <w:r>
        <w:rPr>
          <w:rFonts w:ascii="Times New Roman" w:hAnsi="Times New Roman" w:eastAsiaTheme="minorEastAsia"/>
          <w:sz w:val="24"/>
          <w:szCs w:val="24"/>
        </w:rPr>
        <w:t>价值</w:t>
      </w:r>
      <w:r>
        <w:rPr>
          <w:rFonts w:hint="eastAsia" w:ascii="Times New Roman" w:hAnsi="Times New Roman" w:eastAsiaTheme="minorEastAsia"/>
          <w:sz w:val="24"/>
          <w:szCs w:val="24"/>
        </w:rPr>
        <w:t>（</w:t>
      </w:r>
      <w:r>
        <w:rPr>
          <w:rFonts w:hint="eastAsia" w:ascii="Times New Roman" w:hAnsi="Times New Roman" w:eastAsiaTheme="minorEastAsia"/>
          <w:sz w:val="24"/>
          <w:szCs w:val="24"/>
          <w:lang w:eastAsia="zh-CN"/>
        </w:rPr>
        <w:t>产品出厂价</w:t>
      </w:r>
      <w:r>
        <w:rPr>
          <w:rFonts w:hint="eastAsia" w:ascii="Times New Roman" w:hAnsi="Times New Roman" w:eastAsiaTheme="minorEastAsia"/>
          <w:sz w:val="24"/>
          <w:szCs w:val="24"/>
          <w:lang w:val="en-US" w:eastAsia="zh-CN"/>
        </w:rPr>
        <w:t>/购买价，</w:t>
      </w:r>
      <w:r>
        <w:rPr>
          <w:rFonts w:hint="eastAsia" w:ascii="Times New Roman" w:hAnsi="Times New Roman" w:eastAsiaTheme="minorEastAsia"/>
          <w:sz w:val="24"/>
          <w:szCs w:val="24"/>
        </w:rPr>
        <w:t>甲方应提供产品价值证明相关资料）</w:t>
      </w:r>
      <w:r>
        <w:rPr>
          <w:rFonts w:ascii="Times New Roman" w:hAnsi="Times New Roman" w:eastAsiaTheme="minorEastAsia"/>
          <w:sz w:val="24"/>
          <w:szCs w:val="24"/>
        </w:rPr>
        <w:t>向乙方进行索赔</w:t>
      </w:r>
      <w:r>
        <w:rPr>
          <w:rFonts w:hint="eastAsia" w:ascii="Times New Roman" w:hAnsi="Times New Roman" w:eastAsiaTheme="minorEastAsia"/>
          <w:sz w:val="24"/>
          <w:szCs w:val="24"/>
        </w:rPr>
        <w:t>。</w:t>
      </w:r>
    </w:p>
    <w:p w14:paraId="55B6FA7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3.1.3 甲方对货物来源的合法渠道负责，保证对货物享有所有权或独立处分权，不侵犯任何第三方的知识产权，并独立承担因货物的权属、质量、功能、品牌、交易纠纷等引起的法律责任和全部损失，以避免乙方遭受牵连和损失。因甲方对货物不享有所有权或独立处分权或侵犯第三方知识产权的，乙方不承担任何责任。甲方保证所储存的货物及包装符合国家或有关部门规定的质量标准，或符合相关企业或行业标准，甲方应提供相关生产、经营资质文件和产品合格证明，进口产品需提供报关文件及出入境检验检疫文件等全部必备资质文件，如因甲方货物质量有瑕疵、以次充好、以假充真或资质文件不齐全等原因导致乙方受到相关部门的处罚，甲方应承担全部责任。</w:t>
      </w:r>
    </w:p>
    <w:p w14:paraId="29D7C10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3.1.4 甲方需保证提供给乙方的资质证明材料的合法性与真实性，因故意造假或隐瞒资质证明材料的真实性，或资质证明材料不合格导致货物无法及时入仓，由此造成的损失由甲方承担，乙方不承担任何责任。</w:t>
      </w:r>
    </w:p>
    <w:p w14:paraId="77C3D19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3.1.5 甲方需向乙方提供货物的资料，并说明货物的内容、特性、存储要求；如货物性质为易变质的或具有一定危险性的，还需提供详细的储存说明资料（含注意事项），因货物或包装的原因发生危险或造成损害的，由甲方独自承担责任。如甲方未提供货物的资料，则乙方有权对货物按自有标准做相应处理。甲方入库的仓储物不符合储存条件，包括但不限于包装破损、沾染异物、性质不明等问题而无法入库的，乙方应及时通知甲方妥善处理，由此造成的损失由甲方承担；甲乙双方的约定仓储损耗率为【】%，损耗率以下的（不含本数），乙方不承担赔偿责任。</w:t>
      </w:r>
    </w:p>
    <w:p w14:paraId="7FF0A92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3.1.6 甲方货物首次入库，甲方应在货物存放到乙方仓库之前</w:t>
      </w:r>
      <w:r>
        <w:rPr>
          <w:rFonts w:hint="eastAsia" w:ascii="Times New Roman" w:hAnsi="Times New Roman" w:eastAsiaTheme="minorEastAsia"/>
          <w:sz w:val="24"/>
          <w:szCs w:val="24"/>
        </w:rPr>
        <w:t>2</w:t>
      </w:r>
      <w:r>
        <w:rPr>
          <w:rFonts w:ascii="Times New Roman" w:hAnsi="Times New Roman" w:eastAsiaTheme="minorEastAsia"/>
          <w:sz w:val="24"/>
          <w:szCs w:val="24"/>
        </w:rPr>
        <w:t>4</w:t>
      </w:r>
      <w:r>
        <w:rPr>
          <w:rFonts w:hint="eastAsia" w:ascii="Times New Roman" w:hAnsi="Times New Roman" w:eastAsiaTheme="minorEastAsia"/>
          <w:sz w:val="24"/>
          <w:szCs w:val="24"/>
        </w:rPr>
        <w:t>小时</w:t>
      </w:r>
      <w:r>
        <w:rPr>
          <w:rFonts w:ascii="Times New Roman" w:hAnsi="Times New Roman" w:eastAsiaTheme="minorEastAsia"/>
          <w:sz w:val="24"/>
          <w:szCs w:val="24"/>
        </w:rPr>
        <w:t>将所存货物的品名、数量、规格、温区等信息通过邮件等书面方式告知乙方。</w:t>
      </w:r>
    </w:p>
    <w:p w14:paraId="42A17A6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3.2运输模块</w:t>
      </w:r>
    </w:p>
    <w:p w14:paraId="3A324D0E">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3.2.1甲方有权查询货物的派送及签收信息，并有权对乙方服务质量进行监督和考核。</w:t>
      </w:r>
    </w:p>
    <w:p w14:paraId="5CDF53D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3.2.2 甲方在货物送达收货人之前，有权按照本合同约定方式变更配送信息。</w:t>
      </w:r>
    </w:p>
    <w:p w14:paraId="1924343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3.2.3 甲方保证不得发运国家禁止的危险品、禁运品（如爆炸、易燃、自燃、易腐蚀性物品等）。如甲方货物属国家禁运物品，乙方有权拒运；如因甲方未如实告知乙方运输货物属于国家禁运物品而引起的法律责任、经济损失等后果，由甲方自行承担</w:t>
      </w:r>
      <w:r>
        <w:rPr>
          <w:rFonts w:hint="eastAsia" w:ascii="Times New Roman" w:hAnsi="Times New Roman" w:eastAsiaTheme="minorEastAsia"/>
          <w:sz w:val="24"/>
          <w:szCs w:val="24"/>
        </w:rPr>
        <w:t>，给乙方造成损失的，由甲方全额赔偿</w:t>
      </w:r>
      <w:r>
        <w:rPr>
          <w:rFonts w:ascii="Times New Roman" w:hAnsi="Times New Roman" w:eastAsiaTheme="minorEastAsia"/>
          <w:sz w:val="24"/>
          <w:szCs w:val="24"/>
        </w:rPr>
        <w:t>。</w:t>
      </w:r>
    </w:p>
    <w:p w14:paraId="372831F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3.2.4甲方应保证交付乙方配送的货物与《货物运输单》内容相符，与甲方提供的随货单据（包括但不限于检验检疫单、</w:t>
      </w:r>
      <w:r>
        <w:rPr>
          <w:rFonts w:hint="eastAsia" w:ascii="Times New Roman" w:hAnsi="Times New Roman" w:eastAsiaTheme="minorEastAsia"/>
          <w:sz w:val="24"/>
          <w:szCs w:val="24"/>
        </w:rPr>
        <w:t>进口货品相关资料</w:t>
      </w:r>
      <w:r>
        <w:rPr>
          <w:rFonts w:ascii="Times New Roman" w:hAnsi="Times New Roman" w:eastAsiaTheme="minorEastAsia"/>
          <w:sz w:val="24"/>
          <w:szCs w:val="24"/>
        </w:rPr>
        <w:t>等当批次货物需配备的全部文件）的数据信息一致，并附相应的销售文件（如卫检证等），随货文件清晰齐全。甲方应保证托运货物质量应符合相关质量标准，货物及包装完好无损，箱体干净，外箱标识清楚。</w:t>
      </w:r>
    </w:p>
    <w:p w14:paraId="148E8DB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3.2.5甲方应对上述证明文件的真实性、合法性、完整性及准确性负责。如因无正式文件、文件不齐或文件造假等问题所产生的一切责任由甲方承担</w:t>
      </w:r>
      <w:r>
        <w:rPr>
          <w:rFonts w:hint="eastAsia" w:ascii="Times New Roman" w:hAnsi="Times New Roman" w:eastAsiaTheme="minorEastAsia"/>
          <w:sz w:val="24"/>
          <w:szCs w:val="24"/>
        </w:rPr>
        <w:t>，给乙方造成损失的，由甲方全额赔偿</w:t>
      </w:r>
      <w:r>
        <w:rPr>
          <w:rFonts w:ascii="Times New Roman" w:hAnsi="Times New Roman" w:eastAsiaTheme="minorEastAsia"/>
          <w:sz w:val="24"/>
          <w:szCs w:val="24"/>
        </w:rPr>
        <w:t>。</w:t>
      </w:r>
    </w:p>
    <w:p w14:paraId="5B186EC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3.2.6</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如货物不能如约到达或收货环节出现异常情况，例如货损、收方拒收、延时收货等，乙方及时通知甲方，甲方应在接到乙方电话、短信、邮件30分钟内协助解决，非因乙方原因造成的超时等待费、压车费等异常费用由甲方承担。如有因甲方或收货人原因出现货物运回并暂存乙方仓库的情况，甲方应承担返运回仓库的运费，并按乙方货物保管附加服务收费标准进行收费，其他异常费用由甲乙双方另行约定。</w:t>
      </w:r>
    </w:p>
    <w:p w14:paraId="0CC92BBA">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3.2.7</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承运过程中，甲方货物因工商、税务等手续不全等问题引起的争议与乙方无关，由甲方承担相关责任，由此给乙方造成的问题由甲方解决，给乙方造成损失的，由甲方全额赔偿。</w:t>
      </w:r>
    </w:p>
    <w:p w14:paraId="4E1F538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3.2.8</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乙方的承运车辆在规定时间段内到达甲方卸货地点，若由于甲方原因造成的乙方车辆无法在约定时间内卸货的，甲方应当赔偿乙方损失。</w:t>
      </w:r>
    </w:p>
    <w:p w14:paraId="11F92AC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3.2.9</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由于甲方原因导致客户拒收全部或部分货物的，乙方通知甲方后，如甲方在乙方通知后30分钟内未能完成解决的，乙方将货物带回，甲方需在2小时内联系收货方并协助乙方完成货物的二次配送，由此产生的费用（包括但不限于二次配送费、制冷费等）由甲方承担。如甲方逾期未处理，则视为甲方默认收货人退单，乙方将按4.</w:t>
      </w:r>
      <w:r>
        <w:rPr>
          <w:rFonts w:hint="eastAsia" w:ascii="Times New Roman" w:hAnsi="Times New Roman" w:eastAsiaTheme="minorEastAsia"/>
          <w:sz w:val="24"/>
          <w:szCs w:val="24"/>
          <w:lang w:val="en-US" w:eastAsia="zh-CN"/>
        </w:rPr>
        <w:t>3</w:t>
      </w:r>
      <w:r>
        <w:rPr>
          <w:rFonts w:ascii="Times New Roman" w:hAnsi="Times New Roman" w:eastAsiaTheme="minorEastAsia"/>
          <w:sz w:val="24"/>
          <w:szCs w:val="24"/>
        </w:rPr>
        <w:t>条</w:t>
      </w:r>
      <w:r>
        <w:rPr>
          <w:rFonts w:hint="eastAsia" w:ascii="Times New Roman" w:hAnsi="Times New Roman" w:eastAsiaTheme="minorEastAsia"/>
          <w:sz w:val="24"/>
          <w:szCs w:val="24"/>
          <w:lang w:eastAsia="zh-CN"/>
        </w:rPr>
        <w:t>约定</w:t>
      </w:r>
      <w:r>
        <w:rPr>
          <w:rFonts w:ascii="Times New Roman" w:hAnsi="Times New Roman" w:eastAsiaTheme="minorEastAsia"/>
          <w:sz w:val="24"/>
          <w:szCs w:val="24"/>
        </w:rPr>
        <w:t>方式处理。</w:t>
      </w:r>
    </w:p>
    <w:p w14:paraId="2CF46399">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3.2.10</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甲方应按照</w:t>
      </w:r>
      <w:r>
        <w:rPr>
          <w:rFonts w:hint="eastAsia" w:ascii="Times New Roman" w:hAnsi="Times New Roman" w:eastAsiaTheme="minorEastAsia"/>
          <w:sz w:val="24"/>
          <w:szCs w:val="24"/>
        </w:rPr>
        <w:t>本合同约定</w:t>
      </w:r>
      <w:r>
        <w:rPr>
          <w:rFonts w:ascii="Times New Roman" w:hAnsi="Times New Roman" w:eastAsiaTheme="minorEastAsia"/>
          <w:sz w:val="24"/>
          <w:szCs w:val="24"/>
        </w:rPr>
        <w:t>每月按时支付服务费用。</w:t>
      </w:r>
    </w:p>
    <w:p w14:paraId="01C67DE2">
      <w:pPr>
        <w:spacing w:before="156" w:beforeLines="50" w:after="156" w:afterLines="50"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第四条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乙方的权利与义务</w:t>
      </w:r>
    </w:p>
    <w:p w14:paraId="36B4883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 仓储模块</w:t>
      </w:r>
    </w:p>
    <w:p w14:paraId="395DA50C">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4.1.1</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有权拒绝易燃、易爆、有毒、有腐蚀性等违禁品入库；对于甲方不按照乙方要求提供仓储物明细的，乙方可以拒收入库货物，如因甲方隐瞒货物真实情况或存在其他违约情形造成损失的（含乙方或第三方的损失），由甲方承担</w:t>
      </w:r>
      <w:r>
        <w:rPr>
          <w:rFonts w:hint="eastAsia" w:ascii="Times New Roman" w:hAnsi="Times New Roman" w:eastAsiaTheme="minorEastAsia"/>
          <w:sz w:val="24"/>
          <w:szCs w:val="24"/>
        </w:rPr>
        <w:t>全部</w:t>
      </w:r>
      <w:r>
        <w:rPr>
          <w:rFonts w:ascii="Times New Roman" w:hAnsi="Times New Roman" w:eastAsiaTheme="minorEastAsia"/>
          <w:sz w:val="24"/>
          <w:szCs w:val="24"/>
        </w:rPr>
        <w:t>赔偿责任</w:t>
      </w:r>
      <w:r>
        <w:rPr>
          <w:rFonts w:hint="eastAsia" w:ascii="Times New Roman" w:hAnsi="Times New Roman" w:eastAsiaTheme="minorEastAsia"/>
          <w:sz w:val="24"/>
          <w:szCs w:val="24"/>
        </w:rPr>
        <w:t>及法律责任</w:t>
      </w:r>
      <w:r>
        <w:rPr>
          <w:rFonts w:ascii="Times New Roman" w:hAnsi="Times New Roman" w:eastAsiaTheme="minorEastAsia"/>
          <w:sz w:val="24"/>
          <w:szCs w:val="24"/>
        </w:rPr>
        <w:t>。</w:t>
      </w:r>
    </w:p>
    <w:p w14:paraId="30C48A7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乙方应按</w:t>
      </w:r>
      <w:r>
        <w:rPr>
          <w:rFonts w:hint="eastAsia" w:ascii="Times New Roman" w:hAnsi="Times New Roman" w:eastAsiaTheme="minorEastAsia"/>
          <w:sz w:val="24"/>
          <w:szCs w:val="24"/>
        </w:rPr>
        <w:t>甲方提供的入库标准确定的</w:t>
      </w:r>
      <w:r>
        <w:rPr>
          <w:rFonts w:ascii="Times New Roman" w:hAnsi="Times New Roman" w:eastAsiaTheme="minorEastAsia"/>
          <w:sz w:val="24"/>
          <w:szCs w:val="24"/>
        </w:rPr>
        <w:t>储存条件和存放要求存放货物，并定期进行检查，保证仓库内的环境整洁。乙方如发现货物出现异状，应及时通知甲方处理。如仓储货物危及其他仓储货物的安全和正常存放，情况紧急下乙方可做出必要处置，事后及时通知甲方。</w:t>
      </w:r>
    </w:p>
    <w:p w14:paraId="541F32B8">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储存期间，因乙方存放不善造成仓储物毁损、灭失的，</w:t>
      </w:r>
      <w:r>
        <w:rPr>
          <w:rFonts w:hint="eastAsia" w:ascii="Times New Roman" w:hAnsi="Times New Roman" w:eastAsiaTheme="minorEastAsia"/>
          <w:sz w:val="24"/>
          <w:szCs w:val="24"/>
        </w:rPr>
        <w:t>在</w:t>
      </w:r>
      <w:r>
        <w:rPr>
          <w:rFonts w:ascii="Times New Roman" w:hAnsi="Times New Roman" w:eastAsiaTheme="minorEastAsia"/>
          <w:sz w:val="24"/>
          <w:szCs w:val="24"/>
        </w:rPr>
        <w:t>双方的约定仓储损耗率</w:t>
      </w:r>
      <w:r>
        <w:rPr>
          <w:rFonts w:hint="eastAsia" w:ascii="Times New Roman" w:hAnsi="Times New Roman" w:eastAsiaTheme="minorEastAsia"/>
          <w:sz w:val="24"/>
          <w:szCs w:val="24"/>
        </w:rPr>
        <w:t>以上的货物损坏，</w:t>
      </w:r>
      <w:r>
        <w:rPr>
          <w:rFonts w:ascii="Times New Roman" w:hAnsi="Times New Roman" w:eastAsiaTheme="minorEastAsia"/>
          <w:sz w:val="24"/>
          <w:szCs w:val="24"/>
        </w:rPr>
        <w:t>乙方应当承担赔偿责任。因仓储物的性质、包装不符合约定或者超过有效储存期造成仓储物变质、损坏的，乙方不承担损害赔偿责任。</w:t>
      </w:r>
    </w:p>
    <w:p w14:paraId="5A59C85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4.1.4 甲方储存货物临近失效期或有异状，在收到乙方书面通知后的7天内不及时处理的，乙方有权在甲方未提供明确临期预警日期和下架日期的情况下依照乙方的货物临期预警和下架标准对货物进行处理，</w:t>
      </w:r>
      <w:r>
        <w:rPr>
          <w:rFonts w:hint="eastAsia" w:ascii="Times New Roman" w:hAnsi="Times New Roman" w:eastAsiaTheme="minorEastAsia"/>
          <w:sz w:val="24"/>
          <w:szCs w:val="24"/>
          <w:lang w:eastAsia="zh-CN"/>
        </w:rPr>
        <w:t>因此</w:t>
      </w:r>
      <w:r>
        <w:rPr>
          <w:rFonts w:ascii="Times New Roman" w:hAnsi="Times New Roman" w:eastAsiaTheme="minorEastAsia"/>
          <w:sz w:val="24"/>
          <w:szCs w:val="24"/>
        </w:rPr>
        <w:t>产生的</w:t>
      </w:r>
      <w:r>
        <w:rPr>
          <w:rFonts w:hint="eastAsia" w:ascii="Times New Roman" w:hAnsi="Times New Roman" w:eastAsiaTheme="minorEastAsia"/>
          <w:sz w:val="24"/>
          <w:szCs w:val="24"/>
          <w:lang w:eastAsia="zh-CN"/>
        </w:rPr>
        <w:t>损失及费用由</w:t>
      </w:r>
      <w:r>
        <w:rPr>
          <w:rFonts w:ascii="Times New Roman" w:hAnsi="Times New Roman" w:eastAsiaTheme="minorEastAsia"/>
          <w:sz w:val="24"/>
          <w:szCs w:val="24"/>
        </w:rPr>
        <w:t>甲方承担；如因此导致乙方仓库或存储物污染等其他损害的，甲方应当赔偿乙方</w:t>
      </w:r>
      <w:r>
        <w:rPr>
          <w:rFonts w:hint="eastAsia" w:ascii="Times New Roman" w:hAnsi="Times New Roman" w:eastAsiaTheme="minorEastAsia"/>
          <w:sz w:val="24"/>
          <w:szCs w:val="24"/>
          <w:lang w:eastAsia="zh-CN"/>
        </w:rPr>
        <w:t>因此遭受的</w:t>
      </w:r>
      <w:r>
        <w:rPr>
          <w:rFonts w:ascii="Times New Roman" w:hAnsi="Times New Roman" w:eastAsiaTheme="minorEastAsia"/>
          <w:sz w:val="24"/>
          <w:szCs w:val="24"/>
        </w:rPr>
        <w:t>损失。</w:t>
      </w:r>
    </w:p>
    <w:p w14:paraId="445C26F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4.1.5</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乙方对甲方的产品情况有保密义务，对于甲方产品的具体细节，包括但不限于甲方产品的数量、品种、生产厂家等，不得向第三方随意透露。</w:t>
      </w:r>
    </w:p>
    <w:p w14:paraId="06409A4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运输模块</w:t>
      </w:r>
    </w:p>
    <w:p w14:paraId="7F66DAF7">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4.2.1</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乙方应保障运输安全</w:t>
      </w:r>
      <w:r>
        <w:rPr>
          <w:rFonts w:hint="eastAsia" w:ascii="Times New Roman" w:hAnsi="Times New Roman" w:eastAsiaTheme="minorEastAsia"/>
          <w:sz w:val="24"/>
          <w:szCs w:val="24"/>
        </w:rPr>
        <w:t>及</w:t>
      </w:r>
      <w:r>
        <w:rPr>
          <w:rFonts w:ascii="Times New Roman" w:hAnsi="Times New Roman" w:eastAsiaTheme="minorEastAsia"/>
          <w:sz w:val="24"/>
          <w:szCs w:val="24"/>
        </w:rPr>
        <w:t>配送货物的安全，发现异常情况须及时通知甲方并采取</w:t>
      </w:r>
      <w:r>
        <w:rPr>
          <w:rFonts w:hint="eastAsia" w:ascii="Times New Roman" w:hAnsi="Times New Roman" w:eastAsiaTheme="minorEastAsia"/>
          <w:sz w:val="24"/>
          <w:szCs w:val="24"/>
        </w:rPr>
        <w:t>必要</w:t>
      </w:r>
      <w:r>
        <w:rPr>
          <w:rFonts w:ascii="Times New Roman" w:hAnsi="Times New Roman" w:eastAsiaTheme="minorEastAsia"/>
          <w:sz w:val="24"/>
          <w:szCs w:val="24"/>
        </w:rPr>
        <w:t>措施</w:t>
      </w:r>
      <w:r>
        <w:rPr>
          <w:rFonts w:hint="eastAsia" w:ascii="Times New Roman" w:hAnsi="Times New Roman" w:eastAsiaTheme="minorEastAsia"/>
          <w:sz w:val="24"/>
          <w:szCs w:val="24"/>
        </w:rPr>
        <w:t>尽量避免</w:t>
      </w:r>
      <w:r>
        <w:rPr>
          <w:rFonts w:ascii="Times New Roman" w:hAnsi="Times New Roman" w:eastAsiaTheme="minorEastAsia"/>
          <w:sz w:val="24"/>
          <w:szCs w:val="24"/>
        </w:rPr>
        <w:t>损失发生</w:t>
      </w:r>
      <w:r>
        <w:rPr>
          <w:rFonts w:hint="eastAsia" w:ascii="Times New Roman" w:hAnsi="Times New Roman" w:eastAsiaTheme="minorEastAsia"/>
          <w:sz w:val="24"/>
          <w:szCs w:val="24"/>
        </w:rPr>
        <w:t>或减少损失</w:t>
      </w:r>
      <w:r>
        <w:rPr>
          <w:rFonts w:ascii="Times New Roman" w:hAnsi="Times New Roman" w:eastAsiaTheme="minorEastAsia"/>
          <w:sz w:val="24"/>
          <w:szCs w:val="24"/>
        </w:rPr>
        <w:t>。</w:t>
      </w:r>
    </w:p>
    <w:p w14:paraId="24ABFA8C">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如配送途中遇有政府有关部门需对货物进行开箱检查的，乙方应请其出具开箱证明或有关手续</w:t>
      </w:r>
      <w:r>
        <w:rPr>
          <w:rFonts w:hint="eastAsia" w:ascii="Times New Roman" w:hAnsi="Times New Roman" w:eastAsiaTheme="minorEastAsia"/>
          <w:sz w:val="24"/>
          <w:szCs w:val="24"/>
        </w:rPr>
        <w:t>（如有）</w:t>
      </w:r>
      <w:r>
        <w:rPr>
          <w:rFonts w:ascii="Times New Roman" w:hAnsi="Times New Roman" w:eastAsiaTheme="minorEastAsia"/>
          <w:sz w:val="24"/>
          <w:szCs w:val="24"/>
        </w:rPr>
        <w:t>并将其原件提供给甲方。</w:t>
      </w:r>
    </w:p>
    <w:p w14:paraId="0C1FE8D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乙方应制定</w:t>
      </w:r>
      <w:r>
        <w:rPr>
          <w:rFonts w:hint="eastAsia" w:ascii="Times New Roman" w:hAnsi="Times New Roman" w:eastAsiaTheme="minorEastAsia"/>
          <w:sz w:val="24"/>
          <w:szCs w:val="24"/>
        </w:rPr>
        <w:t>针对运输</w:t>
      </w:r>
      <w:r>
        <w:rPr>
          <w:rFonts w:ascii="Times New Roman" w:hAnsi="Times New Roman" w:eastAsiaTheme="minorEastAsia"/>
          <w:sz w:val="24"/>
          <w:szCs w:val="24"/>
        </w:rPr>
        <w:t>中各类意外事件的应急处理预案，如：交通事故、盗窃、抢劫等事件发生，乙方需要进行如下处理：</w:t>
      </w:r>
    </w:p>
    <w:p w14:paraId="30717904">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sz w:val="24"/>
          <w:szCs w:val="24"/>
        </w:rPr>
        <w:t>乙方将立即向有关部门（如公安机关）报告，并根据法律规定与之合作。</w:t>
      </w:r>
    </w:p>
    <w:p w14:paraId="00F2B646">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乙方将在此类事件发生</w:t>
      </w:r>
      <w:r>
        <w:rPr>
          <w:rFonts w:hint="eastAsia" w:ascii="Times New Roman" w:hAnsi="Times New Roman" w:eastAsiaTheme="minorEastAsia"/>
          <w:sz w:val="24"/>
          <w:szCs w:val="24"/>
        </w:rPr>
        <w:t>后</w:t>
      </w:r>
      <w:r>
        <w:rPr>
          <w:rFonts w:ascii="Times New Roman" w:hAnsi="Times New Roman" w:eastAsiaTheme="minorEastAsia"/>
          <w:sz w:val="24"/>
          <w:szCs w:val="24"/>
        </w:rPr>
        <w:t>4小时内通知甲方，以便甲方采取必要的行动。</w:t>
      </w:r>
    </w:p>
    <w:p w14:paraId="3A31BBC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w:t>
      </w:r>
      <w:r>
        <w:rPr>
          <w:rFonts w:hint="eastAsia" w:ascii="Times New Roman" w:hAnsi="Times New Roman" w:eastAsiaTheme="minorEastAsia"/>
          <w:sz w:val="24"/>
          <w:szCs w:val="24"/>
          <w:lang w:val="en-US" w:eastAsia="zh-CN"/>
        </w:rPr>
        <w:t>3</w:t>
      </w:r>
      <w:r>
        <w:rPr>
          <w:rFonts w:ascii="Times New Roman" w:hAnsi="Times New Roman" w:eastAsiaTheme="minorEastAsia"/>
          <w:sz w:val="24"/>
          <w:szCs w:val="24"/>
        </w:rPr>
        <w:t xml:space="preserve"> </w:t>
      </w:r>
      <w:r>
        <w:rPr>
          <w:rFonts w:hint="eastAsia" w:ascii="宋体" w:hAnsi="宋体" w:eastAsia="宋体" w:cs="宋体"/>
          <w:sz w:val="24"/>
          <w:szCs w:val="24"/>
        </w:rPr>
        <w:t>非乙方原因造成的货物退回：甲方需要承担因货物退回产生的相关费用，双方就货物退回产生的费用总额达成一致后，乙方将货物运回原仓库或甲方指定收货地点，退回货物按原存储标准由甲方承担存储费及相关费用。如货物运回仓库后超过货物保质期限的，乙方有权按作废件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p>
    <w:p w14:paraId="285BB58E">
      <w:pPr>
        <w:spacing w:before="156" w:beforeLines="50" w:after="156" w:afterLines="50" w:line="360" w:lineRule="auto"/>
        <w:ind w:firstLine="480" w:firstLineChars="200"/>
        <w:rPr>
          <w:rFonts w:hint="eastAsia" w:ascii="Times New Roman" w:hAnsi="Times New Roman" w:eastAsiaTheme="minorEastAsia"/>
          <w:sz w:val="24"/>
          <w:szCs w:val="24"/>
        </w:rPr>
      </w:pPr>
      <w:r>
        <w:rPr>
          <w:rFonts w:hint="eastAsia" w:ascii="Times New Roman" w:hAnsi="Times New Roman" w:eastAsiaTheme="minorEastAsia"/>
          <w:sz w:val="24"/>
          <w:szCs w:val="24"/>
          <w:lang w:val="en-US" w:eastAsia="zh-CN"/>
        </w:rPr>
        <w:t xml:space="preserve">4.4 </w:t>
      </w:r>
      <w:r>
        <w:rPr>
          <w:rFonts w:hint="eastAsia" w:ascii="Times New Roman" w:hAnsi="Times New Roman" w:eastAsiaTheme="minorEastAsia"/>
          <w:sz w:val="24"/>
          <w:szCs w:val="24"/>
        </w:rPr>
        <w:t>甲方根据货物的性质及重量、数量、体积采用适当的包装材料和包装形式包装。</w:t>
      </w:r>
      <w:r>
        <w:rPr>
          <w:rFonts w:hint="eastAsia" w:ascii="Times New Roman" w:hAnsi="Times New Roman" w:eastAsiaTheme="minorEastAsia"/>
          <w:sz w:val="24"/>
          <w:szCs w:val="24"/>
          <w:lang w:eastAsia="zh-CN"/>
        </w:rPr>
        <w:t>因甲方货物包装不合格、存在质量瑕疵等甲方原因造成的人身损害及货物毁损、灭失，赔偿责任由甲方承担。</w:t>
      </w:r>
    </w:p>
    <w:p w14:paraId="1FBB4721">
      <w:pPr>
        <w:spacing w:before="156" w:beforeLines="50" w:after="156" w:afterLines="50" w:line="360" w:lineRule="auto"/>
        <w:ind w:firstLine="480" w:firstLineChars="20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val="en-US" w:eastAsia="zh-CN"/>
        </w:rPr>
        <w:t xml:space="preserve">4.5 </w:t>
      </w:r>
      <w:r>
        <w:rPr>
          <w:rFonts w:hint="eastAsia" w:ascii="Times New Roman" w:hAnsi="Times New Roman" w:eastAsiaTheme="minorEastAsia"/>
          <w:sz w:val="24"/>
          <w:szCs w:val="24"/>
        </w:rPr>
        <w:t>在符合法律和合同规定条件下的</w:t>
      </w:r>
      <w:r>
        <w:rPr>
          <w:rFonts w:hint="eastAsia" w:ascii="Times New Roman" w:hAnsi="Times New Roman" w:eastAsiaTheme="minorEastAsia"/>
          <w:sz w:val="24"/>
          <w:szCs w:val="24"/>
          <w:lang w:eastAsia="zh-CN"/>
        </w:rPr>
        <w:t>仓储及</w:t>
      </w:r>
      <w:r>
        <w:rPr>
          <w:rFonts w:hint="eastAsia" w:ascii="Times New Roman" w:hAnsi="Times New Roman" w:eastAsiaTheme="minorEastAsia"/>
          <w:sz w:val="24"/>
          <w:szCs w:val="24"/>
        </w:rPr>
        <w:t>运输，由于下列原因造成货物灭失、短少、变质、污染、损坏的，乙方不承担责任：①不可抗力；②货物的自然属性或合理损耗或货物质保期届满；③甲方的过错；④原包装不符合规定（无法从外部发现）且乙方采取了合理方式保存留证的，或者包装完整无损而内装货物短损且经检查无二次封箱痕迹的。</w:t>
      </w:r>
      <w:r>
        <w:rPr>
          <w:rFonts w:hint="eastAsia" w:ascii="Times New Roman" w:hAnsi="Times New Roman" w:eastAsiaTheme="minorEastAsia"/>
          <w:sz w:val="24"/>
          <w:szCs w:val="24"/>
        </w:rPr>
        <w:fldChar w:fldCharType="begin"/>
      </w:r>
      <w:r>
        <w:rPr>
          <w:rFonts w:hint="eastAsia" w:ascii="Times New Roman" w:hAnsi="Times New Roman" w:eastAsiaTheme="minorEastAsia"/>
          <w:sz w:val="24"/>
          <w:szCs w:val="24"/>
        </w:rPr>
        <w:instrText xml:space="preserve"> = 5 \* GB3 \* MERGEFORMAT </w:instrText>
      </w:r>
      <w:r>
        <w:rPr>
          <w:rFonts w:hint="eastAsia" w:ascii="Times New Roman" w:hAnsi="Times New Roman" w:eastAsiaTheme="minorEastAsia"/>
          <w:sz w:val="24"/>
          <w:szCs w:val="24"/>
        </w:rPr>
        <w:fldChar w:fldCharType="separate"/>
      </w:r>
      <w:r>
        <w:rPr>
          <w:rFonts w:hint="eastAsia" w:ascii="Times New Roman" w:hAnsi="Times New Roman" w:eastAsiaTheme="minorEastAsia"/>
          <w:sz w:val="24"/>
          <w:szCs w:val="24"/>
        </w:rPr>
        <w:t>⑤</w:t>
      </w:r>
      <w:r>
        <w:rPr>
          <w:rFonts w:hint="eastAsia" w:ascii="Times New Roman" w:hAnsi="Times New Roman" w:eastAsiaTheme="minorEastAsia"/>
          <w:sz w:val="24"/>
          <w:szCs w:val="24"/>
        </w:rPr>
        <w:fldChar w:fldCharType="end"/>
      </w:r>
      <w:r>
        <w:rPr>
          <w:rFonts w:hint="eastAsia" w:ascii="Times New Roman" w:hAnsi="Times New Roman" w:eastAsiaTheme="minorEastAsia"/>
          <w:sz w:val="24"/>
          <w:szCs w:val="24"/>
          <w:lang w:eastAsia="zh-CN"/>
        </w:rPr>
        <w:t>遵守甲方或者其他有权方对乙方做出的指示。</w:t>
      </w:r>
    </w:p>
    <w:p w14:paraId="6D68A01E">
      <w:pPr>
        <w:numPr>
          <w:ilvl w:val="0"/>
          <w:numId w:val="0"/>
        </w:num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4.6 如乙方因政府或有关部门要求限制货物进出、对货物进行消毒、部分或全部销毁或采取其他措施的，乙方在收到上述通知后书面通知甲方，甲乙双方均应积极配合，乙方不承担因此造成的损失。</w:t>
      </w:r>
    </w:p>
    <w:p w14:paraId="2531566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2"/>
          <w:sz w:val="24"/>
          <w:szCs w:val="24"/>
          <w:highlight w:val="none"/>
          <w:lang w:val="en-US" w:eastAsia="zh-CN" w:bidi="ar-SA"/>
        </w:rPr>
      </w:pPr>
      <w:bookmarkStart w:id="1" w:name="OLE_LINK37"/>
      <w:bookmarkStart w:id="2" w:name="OLE_LINK38"/>
      <w:bookmarkStart w:id="3" w:name="OLE_LINK41"/>
      <w:bookmarkStart w:id="4" w:name="OLE_LINK50"/>
      <w:r>
        <w:rPr>
          <w:rFonts w:hint="eastAsia" w:ascii="宋体" w:hAnsi="宋体" w:eastAsia="宋体" w:cs="宋体"/>
          <w:sz w:val="24"/>
          <w:szCs w:val="24"/>
          <w:highlight w:val="none"/>
          <w:lang w:val="en-US" w:eastAsia="zh-CN"/>
        </w:rPr>
        <w:t>4.7 若甲方存于乙方仓库中产品的价值低于其已经发生但未支付的服务费用，则甲方应先向乙方支付部分或全部前述服务费用，或向乙方提供相应担保金或增加库存，以确保产品价值或产品价值与担保金之和高于前述已发生但未支付的服务费用，否则乙方有权拒绝甲方的发货请求，甲方不得由此向乙方主张任何性质的赔偿。</w:t>
      </w:r>
      <w:bookmarkStart w:id="5" w:name="OLE_LINK43"/>
      <w:bookmarkStart w:id="6" w:name="OLE_LINK42"/>
      <w:r>
        <w:rPr>
          <w:rFonts w:hint="eastAsia" w:ascii="宋体" w:hAnsi="宋体" w:eastAsia="宋体" w:cs="宋体"/>
          <w:sz w:val="24"/>
          <w:szCs w:val="24"/>
          <w:highlight w:val="none"/>
          <w:lang w:val="en-US" w:eastAsia="zh-CN"/>
        </w:rPr>
        <w:t>产品价值以甲方仓储通知上的出厂价格为计算依据。</w:t>
      </w:r>
      <w:bookmarkEnd w:id="5"/>
      <w:bookmarkEnd w:id="6"/>
      <w:r>
        <w:rPr>
          <w:rFonts w:hint="eastAsia" w:ascii="宋体" w:hAnsi="宋体" w:eastAsia="宋体" w:cs="宋体"/>
          <w:sz w:val="24"/>
          <w:szCs w:val="24"/>
          <w:highlight w:val="none"/>
          <w:lang w:val="en-US" w:eastAsia="zh-CN"/>
        </w:rPr>
        <w:t xml:space="preserve"> </w:t>
      </w:r>
      <w:bookmarkEnd w:id="1"/>
      <w:bookmarkEnd w:id="2"/>
      <w:bookmarkEnd w:id="3"/>
      <w:bookmarkEnd w:id="4"/>
    </w:p>
    <w:p w14:paraId="0BF03FD9">
      <w:pPr>
        <w:spacing w:line="520" w:lineRule="exact"/>
        <w:ind w:firstLine="480" w:firstLineChars="200"/>
        <w:rPr>
          <w:rFonts w:hint="eastAsia"/>
          <w:lang w:val="en-US" w:eastAsia="zh-CN"/>
        </w:rPr>
      </w:pPr>
      <w:r>
        <w:rPr>
          <w:rFonts w:hint="eastAsia" w:ascii="宋体" w:hAnsi="宋体" w:eastAsia="宋体" w:cs="宋体"/>
          <w:sz w:val="24"/>
          <w:szCs w:val="24"/>
          <w:highlight w:val="none"/>
          <w:lang w:val="en-US" w:eastAsia="zh-CN"/>
        </w:rPr>
        <w:t>4.8 本合同到期或提前解除的，甲方应在前述事由发生之日起5个工作日内办理完毕货物清仓，并在清仓前支付完毕本合同项下已产生的各项费用。甲方未全额支付或拒绝支付的，乙方有权拒绝办理货物出库，由此产生的损失由甲方自行承担。</w:t>
      </w:r>
    </w:p>
    <w:p w14:paraId="79264FC7">
      <w:pPr>
        <w:pStyle w:val="2"/>
        <w:numPr>
          <w:ilvl w:val="0"/>
          <w:numId w:val="0"/>
        </w:numPr>
        <w:spacing w:before="156" w:beforeLines="50" w:after="156" w:afterLines="50" w:line="0" w:lineRule="atLeast"/>
        <w:ind w:left="15" w:leftChars="7"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4.9 非经甲方同意，乙方不得使用甲方的字号及logo，但如乙方或乙方关联实体仅将甲方的字号及logo用于投标、宣传等业绩展现的除外。</w:t>
      </w:r>
    </w:p>
    <w:p w14:paraId="5BAE60B1">
      <w:pPr>
        <w:spacing w:before="156" w:beforeLines="50" w:after="156" w:afterLines="50" w:line="360" w:lineRule="auto"/>
        <w:ind w:firstLine="0" w:firstLineChars="0"/>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第五条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服务费用及结算</w:t>
      </w:r>
    </w:p>
    <w:p w14:paraId="6E13DFD2">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5.1收费标准：</w:t>
      </w:r>
    </w:p>
    <w:p w14:paraId="4496FC82">
      <w:pPr>
        <w:spacing w:before="156" w:beforeLines="50" w:after="156" w:afterLines="50" w:line="360" w:lineRule="auto"/>
        <w:ind w:firstLine="480" w:firstLineChars="200"/>
        <w:rPr>
          <w:rFonts w:hint="eastAsia" w:ascii="Times New Roman" w:hAnsi="Times New Roman" w:eastAsiaTheme="minorEastAsia"/>
          <w:sz w:val="24"/>
          <w:szCs w:val="24"/>
          <w:lang w:eastAsia="zh-CN"/>
        </w:rPr>
      </w:pPr>
      <w:r>
        <w:rPr>
          <w:rFonts w:ascii="Times New Roman" w:hAnsi="Times New Roman" w:eastAsiaTheme="minorEastAsia"/>
          <w:sz w:val="24"/>
          <w:szCs w:val="24"/>
        </w:rPr>
        <w:t>仓储、运输及其他运输附加服务收费标准详见附件一《服务价格表》</w:t>
      </w:r>
      <w:r>
        <w:rPr>
          <w:rFonts w:hint="eastAsia" w:ascii="Times New Roman" w:hAnsi="Times New Roman" w:eastAsiaTheme="minorEastAsia"/>
          <w:sz w:val="24"/>
          <w:szCs w:val="24"/>
          <w:lang w:eastAsia="zh-CN"/>
        </w:rPr>
        <w:t>。</w:t>
      </w:r>
    </w:p>
    <w:p w14:paraId="6E8125B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结算方式：</w:t>
      </w:r>
    </w:p>
    <w:p w14:paraId="47D5DF1F">
      <w:pPr>
        <w:spacing w:before="156" w:beforeLines="50" w:after="156" w:afterLines="50" w:line="360" w:lineRule="auto"/>
        <w:ind w:firstLine="480" w:firstLineChars="200"/>
        <w:rPr>
          <w:rFonts w:hint="eastAsia" w:ascii="Times New Roman" w:hAnsi="Times New Roman" w:eastAsiaTheme="minorEastAsia"/>
          <w:sz w:val="24"/>
          <w:szCs w:val="24"/>
        </w:rPr>
      </w:pPr>
      <w:r>
        <w:rPr>
          <w:rFonts w:ascii="Times New Roman" w:hAnsi="Times New Roman" w:eastAsiaTheme="minorEastAsia"/>
          <w:sz w:val="24"/>
          <w:szCs w:val="24"/>
        </w:rPr>
        <w:t>5.2.1乙方按照为甲方提供的服务项进行收费。每月5</w:t>
      </w:r>
      <w:r>
        <w:rPr>
          <w:rFonts w:hint="eastAsia" w:ascii="Times New Roman" w:hAnsi="Times New Roman" w:eastAsiaTheme="minorEastAsia"/>
          <w:sz w:val="24"/>
          <w:szCs w:val="24"/>
        </w:rPr>
        <w:t>号</w:t>
      </w:r>
      <w:r>
        <w:rPr>
          <w:rFonts w:ascii="Times New Roman" w:hAnsi="Times New Roman" w:eastAsiaTheme="minorEastAsia"/>
          <w:sz w:val="24"/>
          <w:szCs w:val="24"/>
        </w:rPr>
        <w:t>前</w:t>
      </w:r>
      <w:r>
        <w:rPr>
          <w:rFonts w:hint="eastAsia" w:ascii="Times New Roman" w:hAnsi="Times New Roman" w:eastAsiaTheme="minorEastAsia"/>
          <w:sz w:val="24"/>
          <w:szCs w:val="24"/>
        </w:rPr>
        <w:t>，乙方向甲方提供月度结算账单（包含仓储费和运输费账单）作为上月服务费用结算的依据，</w:t>
      </w:r>
      <w:r>
        <w:rPr>
          <w:rFonts w:ascii="Times New Roman" w:hAnsi="Times New Roman" w:eastAsiaTheme="minorEastAsia"/>
          <w:sz w:val="24"/>
          <w:szCs w:val="24"/>
        </w:rPr>
        <w:t>双方</w:t>
      </w:r>
      <w:r>
        <w:rPr>
          <w:rFonts w:hint="eastAsia" w:ascii="Times New Roman" w:hAnsi="Times New Roman" w:eastAsiaTheme="minorEastAsia"/>
          <w:sz w:val="24"/>
          <w:szCs w:val="24"/>
        </w:rPr>
        <w:t>进行</w:t>
      </w:r>
      <w:r>
        <w:rPr>
          <w:rFonts w:ascii="Times New Roman" w:hAnsi="Times New Roman" w:eastAsiaTheme="minorEastAsia"/>
          <w:sz w:val="24"/>
          <w:szCs w:val="24"/>
        </w:rPr>
        <w:t>核对</w:t>
      </w:r>
      <w:r>
        <w:rPr>
          <w:rFonts w:hint="eastAsia" w:ascii="Times New Roman" w:hAnsi="Times New Roman" w:eastAsiaTheme="minorEastAsia"/>
          <w:sz w:val="24"/>
          <w:szCs w:val="24"/>
        </w:rPr>
        <w:t>。</w:t>
      </w:r>
      <w:r>
        <w:rPr>
          <w:rFonts w:ascii="Times New Roman" w:hAnsi="Times New Roman" w:eastAsiaTheme="minorEastAsia"/>
          <w:sz w:val="24"/>
          <w:szCs w:val="24"/>
        </w:rPr>
        <w:t>如有异议，甲方应在收到</w:t>
      </w:r>
      <w:r>
        <w:rPr>
          <w:rFonts w:hint="eastAsia" w:ascii="Times New Roman" w:hAnsi="Times New Roman" w:eastAsiaTheme="minorEastAsia"/>
          <w:sz w:val="24"/>
          <w:szCs w:val="24"/>
        </w:rPr>
        <w:t>前述资料</w:t>
      </w:r>
      <w:r>
        <w:rPr>
          <w:rFonts w:ascii="Times New Roman" w:hAnsi="Times New Roman" w:eastAsiaTheme="minorEastAsia"/>
          <w:sz w:val="24"/>
          <w:szCs w:val="24"/>
        </w:rPr>
        <w:t>之日起3日内提出</w:t>
      </w:r>
      <w:r>
        <w:rPr>
          <w:rFonts w:hint="eastAsia" w:ascii="Times New Roman" w:hAnsi="Times New Roman" w:eastAsiaTheme="minorEastAsia"/>
          <w:sz w:val="24"/>
          <w:szCs w:val="24"/>
        </w:rPr>
        <w:t>；</w:t>
      </w:r>
      <w:r>
        <w:rPr>
          <w:rFonts w:ascii="Times New Roman" w:hAnsi="Times New Roman" w:eastAsiaTheme="minorEastAsia"/>
          <w:sz w:val="24"/>
          <w:szCs w:val="24"/>
        </w:rPr>
        <w:t>如无异议，则</w:t>
      </w:r>
      <w:r>
        <w:rPr>
          <w:rFonts w:hint="default" w:ascii="Times New Roman" w:hAnsi="Times New Roman" w:eastAsiaTheme="minorEastAsia"/>
          <w:sz w:val="24"/>
          <w:szCs w:val="24"/>
          <w:lang w:val="en-US" w:eastAsia="zh-CN"/>
        </w:rPr>
        <w:t>甲方3日内</w:t>
      </w:r>
      <w:r>
        <w:rPr>
          <w:rFonts w:hint="eastAsia" w:ascii="Times New Roman" w:hAnsi="Times New Roman" w:eastAsiaTheme="minorEastAsia"/>
          <w:sz w:val="24"/>
          <w:szCs w:val="24"/>
        </w:rPr>
        <w:t>通知</w:t>
      </w:r>
      <w:r>
        <w:rPr>
          <w:rFonts w:ascii="Times New Roman" w:hAnsi="Times New Roman" w:eastAsiaTheme="minorEastAsia"/>
          <w:sz w:val="24"/>
          <w:szCs w:val="24"/>
        </w:rPr>
        <w:t>乙方</w:t>
      </w:r>
      <w:r>
        <w:rPr>
          <w:rFonts w:hint="eastAsia" w:ascii="Times New Roman" w:hAnsi="Times New Roman" w:eastAsiaTheme="minorEastAsia"/>
          <w:sz w:val="24"/>
          <w:szCs w:val="24"/>
        </w:rPr>
        <w:t>确认无误，乙方</w:t>
      </w:r>
      <w:r>
        <w:rPr>
          <w:rFonts w:ascii="Times New Roman" w:hAnsi="Times New Roman" w:eastAsiaTheme="minorEastAsia"/>
          <w:sz w:val="24"/>
          <w:szCs w:val="24"/>
        </w:rPr>
        <w:t>开具运输费发票</w:t>
      </w:r>
      <w:r>
        <w:rPr>
          <w:rFonts w:hint="eastAsia" w:ascii="Times New Roman" w:hAnsi="Times New Roman" w:eastAsiaTheme="minorEastAsia"/>
          <w:sz w:val="24"/>
          <w:szCs w:val="24"/>
        </w:rPr>
        <w:t>及</w:t>
      </w:r>
      <w:r>
        <w:rPr>
          <w:rFonts w:ascii="Times New Roman" w:hAnsi="Times New Roman" w:eastAsiaTheme="minorEastAsia"/>
          <w:sz w:val="24"/>
          <w:szCs w:val="24"/>
        </w:rPr>
        <w:t>仓储服务费发票交付甲方</w:t>
      </w:r>
      <w:r>
        <w:rPr>
          <w:rFonts w:hint="eastAsia" w:ascii="Times New Roman" w:hAnsi="Times New Roman" w:eastAsiaTheme="minorEastAsia"/>
          <w:sz w:val="24"/>
          <w:szCs w:val="24"/>
        </w:rPr>
        <w:t>。甲方</w:t>
      </w:r>
      <w:r>
        <w:rPr>
          <w:rFonts w:ascii="Times New Roman" w:hAnsi="Times New Roman" w:eastAsiaTheme="minorEastAsia"/>
          <w:sz w:val="24"/>
          <w:szCs w:val="24"/>
        </w:rPr>
        <w:t>逾期不确认也不提出书面异议的，视为甲方确认</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甲方在收到乙方</w:t>
      </w:r>
      <w:r>
        <w:rPr>
          <w:rFonts w:hint="eastAsia" w:ascii="Times New Roman" w:hAnsi="Times New Roman" w:eastAsiaTheme="minorEastAsia"/>
          <w:sz w:val="24"/>
          <w:szCs w:val="24"/>
        </w:rPr>
        <w:t>开具</w:t>
      </w:r>
      <w:r>
        <w:rPr>
          <w:rFonts w:ascii="Times New Roman" w:hAnsi="Times New Roman" w:eastAsiaTheme="minorEastAsia"/>
          <w:sz w:val="24"/>
          <w:szCs w:val="24"/>
        </w:rPr>
        <w:t>的</w:t>
      </w:r>
      <w:r>
        <w:rPr>
          <w:rFonts w:hint="eastAsia" w:ascii="Times New Roman" w:hAnsi="Times New Roman" w:eastAsiaTheme="minorEastAsia"/>
          <w:sz w:val="24"/>
          <w:szCs w:val="24"/>
        </w:rPr>
        <w:t>合格</w:t>
      </w:r>
      <w:r>
        <w:rPr>
          <w:rFonts w:ascii="Times New Roman" w:hAnsi="Times New Roman" w:eastAsiaTheme="minorEastAsia"/>
          <w:sz w:val="24"/>
          <w:szCs w:val="24"/>
        </w:rPr>
        <w:t>发票后</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日内</w:t>
      </w:r>
      <w:r>
        <w:rPr>
          <w:rFonts w:ascii="Times New Roman" w:hAnsi="Times New Roman" w:eastAsiaTheme="minorEastAsia"/>
          <w:sz w:val="24"/>
          <w:szCs w:val="24"/>
        </w:rPr>
        <w:t>付款给乙方。</w:t>
      </w:r>
      <w:bookmarkStart w:id="11" w:name="_GoBack"/>
      <w:bookmarkEnd w:id="11"/>
    </w:p>
    <w:p w14:paraId="3427188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5.2.2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如甲方在约定期限内提出异议，双方应在甲方提出异议之日起2个工作日内共同完成对相关费用的核对和确认。甲方应先支付双方核对无异议的费用，</w:t>
      </w:r>
      <w:r>
        <w:rPr>
          <w:rFonts w:hint="eastAsia" w:ascii="Times New Roman" w:hAnsi="Times New Roman" w:eastAsiaTheme="minorEastAsia"/>
          <w:sz w:val="24"/>
          <w:szCs w:val="24"/>
          <w:lang w:eastAsia="zh-CN"/>
        </w:rPr>
        <w:t>有异议的部分业务款项可在双方确认后计入下月账单中结算，</w:t>
      </w:r>
      <w:r>
        <w:rPr>
          <w:rFonts w:ascii="Times New Roman" w:hAnsi="Times New Roman" w:eastAsiaTheme="minorEastAsia"/>
          <w:sz w:val="24"/>
          <w:szCs w:val="24"/>
        </w:rPr>
        <w:t>乙方收取甲方支付的部分费用并不免除甲方继续支付剩余费用的责任。如乙方要求甲方在纸质结算账单上盖章确认并反馈的，甲方应予以配合。</w:t>
      </w:r>
    </w:p>
    <w:p w14:paraId="3362691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5.2.3</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乙方向甲方开具合格发票后，不视为甲方已履行相应付款义务，甲方应按本合同要求时间向乙方支付服务费用。</w:t>
      </w:r>
    </w:p>
    <w:p w14:paraId="3B4F4113">
      <w:pPr>
        <w:spacing w:before="156" w:beforeLines="50" w:after="156" w:afterLines="50" w:line="360" w:lineRule="auto"/>
        <w:ind w:firstLine="480" w:firstLineChars="200"/>
        <w:rPr>
          <w:rFonts w:hint="eastAsia" w:ascii="Times New Roman" w:hAnsi="Times New Roman" w:eastAsiaTheme="minorEastAsia"/>
          <w:sz w:val="24"/>
          <w:szCs w:val="24"/>
          <w:lang w:eastAsia="zh-CN"/>
        </w:rPr>
      </w:pPr>
      <w:r>
        <w:rPr>
          <w:rFonts w:ascii="Times New Roman" w:hAnsi="Times New Roman" w:eastAsiaTheme="minorEastAsia"/>
          <w:sz w:val="24"/>
          <w:szCs w:val="24"/>
        </w:rPr>
        <w:t>5.2.4</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因甲方原因逾期未支付乙方服务费用的，每逾期1日，乙方有权收取欠付金额每日万分之五的滞纳金；</w:t>
      </w:r>
      <w:r>
        <w:rPr>
          <w:rFonts w:hint="eastAsia" w:ascii="Times New Roman" w:hAnsi="Times New Roman" w:eastAsiaTheme="minorEastAsia"/>
          <w:sz w:val="24"/>
          <w:szCs w:val="24"/>
        </w:rPr>
        <w:t>逾期付款超过【</w:t>
      </w:r>
      <w:r>
        <w:rPr>
          <w:rFonts w:hint="eastAsia" w:ascii="Times New Roman" w:hAnsi="Times New Roman" w:eastAsiaTheme="minorEastAsia"/>
          <w:sz w:val="24"/>
          <w:szCs w:val="24"/>
          <w:lang w:val="en-US" w:eastAsia="zh-CN"/>
        </w:rPr>
        <w:t>15</w:t>
      </w:r>
      <w:r>
        <w:rPr>
          <w:rFonts w:hint="eastAsia" w:ascii="Times New Roman" w:hAnsi="Times New Roman" w:eastAsiaTheme="minorEastAsia"/>
          <w:sz w:val="24"/>
          <w:szCs w:val="24"/>
        </w:rPr>
        <w:t>】日或</w:t>
      </w:r>
      <w:r>
        <w:rPr>
          <w:rFonts w:ascii="Times New Roman" w:hAnsi="Times New Roman" w:eastAsiaTheme="minorEastAsia"/>
          <w:sz w:val="24"/>
          <w:szCs w:val="24"/>
        </w:rPr>
        <w:t>拒不付款，乙方有权单方解除本合同或暂停履行本合同约定的各项义务且不承担任何违约责任，同时有权留置</w:t>
      </w:r>
      <w:r>
        <w:rPr>
          <w:rFonts w:hint="eastAsia" w:ascii="宋体" w:hAnsi="宋体" w:eastAsia="宋体" w:cs="宋体"/>
          <w:sz w:val="24"/>
          <w:szCs w:val="24"/>
          <w:lang w:eastAsia="zh-CN"/>
        </w:rPr>
        <w:t>承运</w:t>
      </w:r>
      <w:r>
        <w:rPr>
          <w:rFonts w:hint="eastAsia" w:ascii="宋体" w:hAnsi="宋体" w:eastAsia="宋体" w:cs="宋体"/>
          <w:sz w:val="24"/>
          <w:szCs w:val="24"/>
          <w:lang w:val="en-US" w:eastAsia="zh-CN"/>
        </w:rPr>
        <w:t>/储存</w:t>
      </w:r>
      <w:r>
        <w:rPr>
          <w:rFonts w:ascii="Times New Roman" w:hAnsi="Times New Roman" w:eastAsiaTheme="minorEastAsia"/>
          <w:sz w:val="24"/>
          <w:szCs w:val="24"/>
        </w:rPr>
        <w:t>货物。</w:t>
      </w:r>
      <w:r>
        <w:rPr>
          <w:rFonts w:hint="eastAsia" w:ascii="Times New Roman" w:hAnsi="Times New Roman" w:eastAsiaTheme="minorEastAsia"/>
          <w:sz w:val="24"/>
          <w:szCs w:val="24"/>
        </w:rPr>
        <w:t>因甲方逾期</w:t>
      </w:r>
      <w:r>
        <w:rPr>
          <w:rFonts w:hint="eastAsia" w:ascii="Times New Roman" w:hAnsi="Times New Roman" w:eastAsiaTheme="minorEastAsia"/>
          <w:sz w:val="24"/>
          <w:szCs w:val="24"/>
          <w:lang w:eastAsia="zh-CN"/>
        </w:rPr>
        <w:t>致使</w:t>
      </w:r>
      <w:r>
        <w:rPr>
          <w:rFonts w:hint="eastAsia" w:ascii="Times New Roman" w:hAnsi="Times New Roman" w:eastAsiaTheme="minorEastAsia"/>
          <w:sz w:val="24"/>
          <w:szCs w:val="24"/>
        </w:rPr>
        <w:t>乙方解除本合同的，甲方除支付前述滞纳金外，还应向乙方支付欠费服务费用【</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】倍的违约金，违约金不足以弥补乙方损失的，甲方还应赔偿乙方全部损失</w:t>
      </w:r>
      <w:r>
        <w:rPr>
          <w:rFonts w:hint="eastAsia" w:ascii="Times New Roman" w:hAnsi="Times New Roman" w:eastAsiaTheme="minorEastAsia"/>
          <w:sz w:val="24"/>
          <w:szCs w:val="24"/>
          <w:lang w:eastAsia="zh-CN"/>
        </w:rPr>
        <w:t>。</w:t>
      </w:r>
    </w:p>
    <w:p w14:paraId="0459ACF5">
      <w:pPr>
        <w:spacing w:before="156" w:beforeLines="50" w:after="156" w:afterLines="50"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5.2.5 </w:t>
      </w:r>
      <w:r>
        <w:rPr>
          <w:rFonts w:hint="eastAsia" w:ascii="Times New Roman" w:hAnsi="Times New Roman" w:eastAsiaTheme="minorEastAsia"/>
          <w:sz w:val="24"/>
          <w:szCs w:val="24"/>
          <w:lang w:eastAsia="zh-CN"/>
        </w:rPr>
        <w:t>乙方留置货物</w:t>
      </w:r>
      <w:r>
        <w:rPr>
          <w:rFonts w:hint="eastAsia" w:ascii="Times New Roman" w:hAnsi="Times New Roman" w:eastAsiaTheme="minorEastAsia"/>
          <w:sz w:val="24"/>
          <w:szCs w:val="24"/>
        </w:rPr>
        <w:t>超过</w:t>
      </w:r>
      <w:r>
        <w:rPr>
          <w:rFonts w:hint="eastAsia" w:ascii="Times New Roman" w:hAnsi="Times New Roman" w:eastAsiaTheme="minorEastAsia"/>
          <w:sz w:val="24"/>
          <w:szCs w:val="24"/>
          <w:lang w:val="en-US" w:eastAsia="zh-CN"/>
        </w:rPr>
        <w:t>15日甲方</w:t>
      </w:r>
      <w:r>
        <w:rPr>
          <w:rFonts w:hint="eastAsia" w:ascii="Times New Roman" w:hAnsi="Times New Roman" w:eastAsiaTheme="minorEastAsia"/>
          <w:sz w:val="24"/>
          <w:szCs w:val="24"/>
        </w:rPr>
        <w:t>仍</w:t>
      </w:r>
      <w:r>
        <w:rPr>
          <w:rFonts w:hint="eastAsia" w:ascii="Times New Roman" w:hAnsi="Times New Roman" w:eastAsiaTheme="minorEastAsia"/>
          <w:sz w:val="24"/>
          <w:szCs w:val="24"/>
          <w:lang w:eastAsia="zh-CN"/>
        </w:rPr>
        <w:t>未足额</w:t>
      </w:r>
      <w:r>
        <w:rPr>
          <w:rFonts w:hint="eastAsia" w:ascii="Times New Roman" w:hAnsi="Times New Roman" w:eastAsiaTheme="minorEastAsia"/>
          <w:sz w:val="24"/>
          <w:szCs w:val="24"/>
        </w:rPr>
        <w:t>向乙方</w:t>
      </w:r>
      <w:r>
        <w:rPr>
          <w:rFonts w:hint="eastAsia" w:ascii="Times New Roman" w:hAnsi="Times New Roman" w:eastAsiaTheme="minorEastAsia"/>
          <w:sz w:val="24"/>
          <w:szCs w:val="24"/>
          <w:lang w:eastAsia="zh-CN"/>
        </w:rPr>
        <w:t>支付</w:t>
      </w:r>
      <w:r>
        <w:rPr>
          <w:rFonts w:hint="eastAsia" w:ascii="Times New Roman" w:hAnsi="Times New Roman" w:eastAsiaTheme="minorEastAsia"/>
          <w:sz w:val="24"/>
          <w:szCs w:val="24"/>
        </w:rPr>
        <w:t>服务费用及违约金</w:t>
      </w:r>
      <w:r>
        <w:rPr>
          <w:rFonts w:hint="eastAsia" w:ascii="Times New Roman" w:hAnsi="Times New Roman" w:eastAsiaTheme="minorEastAsia"/>
          <w:sz w:val="24"/>
          <w:szCs w:val="24"/>
          <w:lang w:eastAsia="zh-CN"/>
        </w:rPr>
        <w:t>的</w:t>
      </w:r>
      <w:r>
        <w:rPr>
          <w:rFonts w:hint="eastAsia" w:ascii="Times New Roman" w:hAnsi="Times New Roman" w:eastAsiaTheme="minorEastAsia"/>
          <w:sz w:val="24"/>
          <w:szCs w:val="24"/>
        </w:rPr>
        <w:t>，乙方有权将</w:t>
      </w:r>
      <w:r>
        <w:rPr>
          <w:rFonts w:hint="eastAsia" w:ascii="Times New Roman" w:hAnsi="Times New Roman" w:eastAsiaTheme="minorEastAsia"/>
          <w:sz w:val="24"/>
          <w:szCs w:val="24"/>
          <w:lang w:eastAsia="zh-CN"/>
        </w:rPr>
        <w:t>留置</w:t>
      </w:r>
      <w:r>
        <w:rPr>
          <w:rFonts w:hint="eastAsia" w:ascii="Times New Roman" w:hAnsi="Times New Roman" w:eastAsiaTheme="minorEastAsia"/>
          <w:sz w:val="24"/>
          <w:szCs w:val="24"/>
        </w:rPr>
        <w:t>货物折价变卖，所得货款用于抵偿甲方所欠服务费用及违约金及变卖产生的费用。若有余款，由乙方无息保存，并通知甲方取回。若所得货款不足抵偿服务费用及违约金时，乙方保留依法进一步追偿的</w:t>
      </w:r>
      <w:r>
        <w:rPr>
          <w:rFonts w:hint="eastAsia" w:ascii="Times New Roman" w:hAnsi="Times New Roman" w:eastAsiaTheme="minorEastAsia"/>
          <w:sz w:val="24"/>
          <w:szCs w:val="24"/>
          <w:lang w:eastAsia="zh-CN"/>
        </w:rPr>
        <w:t>权利。</w:t>
      </w:r>
    </w:p>
    <w:p w14:paraId="246D9B3C">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乙方银行账户信息</w:t>
      </w:r>
      <w:r>
        <w:rPr>
          <w:rFonts w:hint="eastAsia" w:ascii="Times New Roman" w:hAnsi="Times New Roman" w:eastAsiaTheme="minorEastAsia"/>
          <w:sz w:val="24"/>
          <w:szCs w:val="24"/>
        </w:rPr>
        <w:t>：</w:t>
      </w:r>
    </w:p>
    <w:p w14:paraId="07A5249D">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账户名：</w:t>
      </w:r>
    </w:p>
    <w:p w14:paraId="7BF8EA6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开户行：</w:t>
      </w:r>
    </w:p>
    <w:p w14:paraId="43EB8BB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收款账号：</w:t>
      </w:r>
    </w:p>
    <w:p w14:paraId="64E9693D">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如乙方上述银行账户信息有所变更，应提前</w:t>
      </w:r>
      <w:r>
        <w:rPr>
          <w:rFonts w:hint="eastAsia" w:ascii="Times New Roman" w:hAnsi="Times New Roman" w:eastAsiaTheme="minorEastAsia"/>
          <w:sz w:val="24"/>
          <w:szCs w:val="24"/>
          <w:lang w:val="en-US" w:eastAsia="zh-CN"/>
        </w:rPr>
        <w:t>7</w:t>
      </w:r>
      <w:r>
        <w:rPr>
          <w:rFonts w:ascii="Times New Roman" w:hAnsi="Times New Roman" w:eastAsiaTheme="minorEastAsia"/>
          <w:sz w:val="24"/>
          <w:szCs w:val="24"/>
        </w:rPr>
        <w:t>日通知甲方。</w:t>
      </w:r>
    </w:p>
    <w:p w14:paraId="27C5D7AA">
      <w:pPr>
        <w:numPr>
          <w:ilvl w:val="0"/>
          <w:numId w:val="0"/>
        </w:numPr>
        <w:snapToGrid w:val="0"/>
        <w:spacing w:line="400" w:lineRule="exact"/>
        <w:ind w:left="284" w:leftChars="0" w:right="248" w:rightChars="118" w:firstLine="480" w:firstLineChars="200"/>
        <w:jc w:val="both"/>
      </w:pPr>
      <w:r>
        <w:rPr>
          <w:rFonts w:hint="eastAsia" w:cs="Arial" w:asciiTheme="minorEastAsia" w:hAnsiTheme="minorEastAsia" w:eastAsiaTheme="minorEastAsia"/>
          <w:kern w:val="0"/>
          <w:sz w:val="24"/>
          <w:szCs w:val="24"/>
          <w:lang w:val="en-US" w:eastAsia="zh-CN" w:bidi="ar-SA"/>
        </w:rPr>
        <w:t>5.4 除双方另有约定外，对于违约方应赔付的损失或支付的违约金，守约方应开具合法发票给违约方，违约方应在收到发票后【30】日内支付。</w:t>
      </w:r>
    </w:p>
    <w:p w14:paraId="6459E293">
      <w:pPr>
        <w:numPr>
          <w:ilvl w:val="0"/>
          <w:numId w:val="0"/>
        </w:numPr>
        <w:snapToGrid w:val="0"/>
        <w:spacing w:line="400" w:lineRule="exact"/>
        <w:ind w:right="248" w:rightChars="118"/>
        <w:jc w:val="both"/>
        <w:rPr>
          <w:rFonts w:hint="eastAsia" w:cs="Arial" w:asciiTheme="minorEastAsia" w:hAnsiTheme="minorEastAsia" w:eastAsiaTheme="minorEastAsia"/>
          <w:b/>
          <w:bCs/>
          <w:kern w:val="0"/>
          <w:sz w:val="24"/>
          <w:szCs w:val="24"/>
          <w:lang w:val="en-US" w:eastAsia="zh-CN" w:bidi="ar-SA"/>
        </w:rPr>
      </w:pPr>
      <w:bookmarkStart w:id="7" w:name="_Toc392595796"/>
    </w:p>
    <w:p w14:paraId="1FF9EB5A">
      <w:pPr>
        <w:numPr>
          <w:ilvl w:val="0"/>
          <w:numId w:val="0"/>
        </w:numPr>
        <w:snapToGrid w:val="0"/>
        <w:spacing w:line="400" w:lineRule="exact"/>
        <w:ind w:right="248" w:rightChars="118"/>
        <w:jc w:val="both"/>
        <w:rPr>
          <w:rFonts w:hint="eastAsia" w:cs="Arial" w:asciiTheme="minorEastAsia" w:hAnsiTheme="minorEastAsia" w:eastAsiaTheme="minorEastAsia"/>
          <w:b/>
          <w:bCs/>
          <w:kern w:val="0"/>
          <w:sz w:val="24"/>
          <w:szCs w:val="24"/>
          <w:lang w:val="en-US" w:eastAsia="zh-CN" w:bidi="ar-SA"/>
        </w:rPr>
      </w:pPr>
      <w:r>
        <w:rPr>
          <w:rFonts w:hint="eastAsia" w:cs="Arial" w:asciiTheme="minorEastAsia" w:hAnsiTheme="minorEastAsia" w:eastAsiaTheme="minorEastAsia"/>
          <w:b/>
          <w:bCs/>
          <w:kern w:val="0"/>
          <w:sz w:val="24"/>
          <w:szCs w:val="24"/>
          <w:lang w:val="en-US" w:eastAsia="zh-CN" w:bidi="ar-SA"/>
        </w:rPr>
        <w:t>第六条  保险及保价</w:t>
      </w:r>
    </w:p>
    <w:p w14:paraId="3B599A3D">
      <w:pPr>
        <w:spacing w:before="156" w:beforeLines="50" w:after="156" w:afterLines="50" w:line="360" w:lineRule="auto"/>
        <w:ind w:firstLine="480" w:firstLineChars="200"/>
        <w:rPr>
          <w:rFonts w:ascii="Times New Roman" w:hAnsi="Times New Roman" w:eastAsiaTheme="minorEastAsia"/>
          <w:color w:val="000000"/>
          <w:sz w:val="24"/>
          <w:szCs w:val="24"/>
        </w:rPr>
      </w:pPr>
      <w:r>
        <w:rPr>
          <w:rFonts w:ascii="Times New Roman" w:hAnsi="Times New Roman" w:eastAsiaTheme="minorEastAsia"/>
          <w:color w:val="000000"/>
          <w:sz w:val="24"/>
          <w:szCs w:val="24"/>
        </w:rPr>
        <w:t>6.1 如乙方在运输中遭遇交通事故、自然灾害、盗窃、抢劫等各类意外事件，甲方应在接到乙方通知后协助配合乙方处理相关事件。</w:t>
      </w:r>
    </w:p>
    <w:p w14:paraId="13C7B93B">
      <w:pPr>
        <w:pStyle w:val="18"/>
        <w:widowControl w:val="0"/>
        <w:numPr>
          <w:ilvl w:val="0"/>
          <w:numId w:val="0"/>
        </w:numPr>
        <w:tabs>
          <w:tab w:val="left" w:pos="1080"/>
        </w:tabs>
        <w:spacing w:before="0" w:beforeLines="50" w:after="0" w:afterLines="50" w:line="360" w:lineRule="auto"/>
        <w:ind w:right="346" w:firstLine="480" w:firstLineChars="200"/>
        <w:rPr>
          <w:rFonts w:hint="eastAsia" w:ascii="Times New Roman" w:hAnsi="Times New Roman" w:eastAsiaTheme="minorEastAsia"/>
          <w:color w:val="000000"/>
          <w:sz w:val="24"/>
          <w:szCs w:val="24"/>
          <w:lang w:eastAsia="zh-CN"/>
        </w:rPr>
      </w:pPr>
      <w:r>
        <w:rPr>
          <w:rFonts w:ascii="Times New Roman" w:hAnsi="Times New Roman" w:eastAsiaTheme="minorEastAsia"/>
          <w:color w:val="000000"/>
          <w:sz w:val="24"/>
          <w:szCs w:val="24"/>
        </w:rPr>
        <w:t>6.2 甲方托运货物可以</w:t>
      </w:r>
      <w:r>
        <w:rPr>
          <w:rFonts w:hint="eastAsia" w:ascii="Times New Roman" w:hAnsi="Times New Roman" w:eastAsiaTheme="minorEastAsia"/>
          <w:color w:val="000000"/>
          <w:sz w:val="24"/>
          <w:szCs w:val="24"/>
        </w:rPr>
        <w:t>委托</w:t>
      </w:r>
      <w:r>
        <w:rPr>
          <w:rFonts w:ascii="Times New Roman" w:hAnsi="Times New Roman" w:eastAsiaTheme="minorEastAsia"/>
          <w:color w:val="000000"/>
          <w:sz w:val="24"/>
          <w:szCs w:val="24"/>
        </w:rPr>
        <w:t>乙方</w:t>
      </w:r>
      <w:r>
        <w:rPr>
          <w:rFonts w:hint="eastAsia" w:ascii="Times New Roman" w:hAnsi="Times New Roman" w:eastAsiaTheme="minorEastAsia"/>
          <w:color w:val="000000"/>
          <w:sz w:val="24"/>
          <w:szCs w:val="24"/>
        </w:rPr>
        <w:t>代为</w:t>
      </w:r>
      <w:r>
        <w:rPr>
          <w:rFonts w:ascii="Times New Roman" w:hAnsi="Times New Roman" w:eastAsiaTheme="minorEastAsia"/>
          <w:color w:val="000000"/>
          <w:sz w:val="24"/>
          <w:szCs w:val="24"/>
        </w:rPr>
        <w:t>购买保险，也可自行对托运货物购买保险</w:t>
      </w:r>
      <w:r>
        <w:rPr>
          <w:rFonts w:hint="eastAsia" w:ascii="Times New Roman" w:hAnsi="Times New Roman" w:eastAsiaTheme="minorEastAsia"/>
          <w:color w:val="000000"/>
          <w:sz w:val="24"/>
          <w:szCs w:val="24"/>
          <w:lang w:eastAsia="zh-CN"/>
        </w:rPr>
        <w:t>，乙方购买保险的，</w:t>
      </w:r>
      <w:r>
        <w:rPr>
          <w:rFonts w:hint="eastAsia" w:ascii="宋体" w:hAnsi="宋体" w:eastAsia="宋体" w:cs="Times New Roman"/>
          <w:color w:val="000000"/>
          <w:kern w:val="2"/>
          <w:sz w:val="24"/>
          <w:szCs w:val="24"/>
          <w:lang w:val="en-US" w:eastAsia="zh-CN" w:bidi="ar-SA"/>
        </w:rPr>
        <w:t>出现保险责任事故，甲方需及时提供乙方向保险公司申请理赔的相关资料及证据，协助乙方从签约保险公司获得理赔，如甲方不配合提供相关资料及证据造成无法获赔的，则乙方不承担甲方的任何损失。</w:t>
      </w:r>
    </w:p>
    <w:p w14:paraId="7C7D0561">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6.3 甲方有权决定货物运输是否保价。保价为全程保价，保价金额不得超过货物本身的实际价值。</w:t>
      </w:r>
    </w:p>
    <w:p w14:paraId="678636E4">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6.3.1 甲方</w:t>
      </w:r>
      <w:r>
        <w:rPr>
          <w:rFonts w:hint="eastAsia" w:ascii="Times New Roman" w:hAnsi="Times New Roman" w:eastAsiaTheme="minorEastAsia"/>
          <w:color w:val="000000"/>
          <w:sz w:val="24"/>
          <w:szCs w:val="24"/>
        </w:rPr>
        <w:t>对货物</w:t>
      </w:r>
      <w:r>
        <w:rPr>
          <w:rFonts w:ascii="Times New Roman" w:hAnsi="Times New Roman" w:eastAsiaTheme="minorEastAsia"/>
          <w:color w:val="000000"/>
          <w:sz w:val="24"/>
          <w:szCs w:val="24"/>
        </w:rPr>
        <w:t>保价的：由于乙方原因造成甲方货物部分损失的，乙方按托运货物的保价金额和损失的比例赔偿；由于乙方原因造成甲方货物全部损失的，乙方按照托运货物的保价金额赔偿。</w:t>
      </w:r>
    </w:p>
    <w:p w14:paraId="228C0746">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6.3.2 甲方未</w:t>
      </w:r>
      <w:r>
        <w:rPr>
          <w:rFonts w:hint="eastAsia" w:ascii="Times New Roman" w:hAnsi="Times New Roman" w:eastAsiaTheme="minorEastAsia"/>
          <w:color w:val="000000"/>
          <w:sz w:val="24"/>
          <w:szCs w:val="24"/>
        </w:rPr>
        <w:t>对货物</w:t>
      </w:r>
      <w:r>
        <w:rPr>
          <w:rFonts w:ascii="Times New Roman" w:hAnsi="Times New Roman" w:eastAsiaTheme="minorEastAsia"/>
          <w:color w:val="000000"/>
          <w:sz w:val="24"/>
          <w:szCs w:val="24"/>
        </w:rPr>
        <w:t>保价的：由于乙方以下原因造成甲方货物损失的，乙方</w:t>
      </w:r>
      <w:r>
        <w:rPr>
          <w:rFonts w:hint="eastAsia" w:ascii="Times New Roman" w:hAnsi="Times New Roman" w:eastAsiaTheme="minorEastAsia"/>
          <w:color w:val="000000"/>
          <w:sz w:val="24"/>
          <w:szCs w:val="24"/>
          <w:lang w:eastAsia="zh-CN"/>
        </w:rPr>
        <w:t>按照货物实际价值（货物出厂价</w:t>
      </w:r>
      <w:r>
        <w:rPr>
          <w:rFonts w:hint="eastAsia" w:ascii="Times New Roman" w:hAnsi="Times New Roman" w:eastAsiaTheme="minorEastAsia"/>
          <w:color w:val="000000"/>
          <w:sz w:val="24"/>
          <w:szCs w:val="24"/>
          <w:lang w:val="en-US" w:eastAsia="zh-CN"/>
        </w:rPr>
        <w:t>/购买价</w:t>
      </w:r>
      <w:r>
        <w:rPr>
          <w:rFonts w:hint="eastAsia" w:ascii="Times New Roman" w:hAnsi="Times New Roman" w:eastAsiaTheme="minorEastAsia"/>
          <w:color w:val="000000"/>
          <w:sz w:val="24"/>
          <w:szCs w:val="24"/>
          <w:lang w:eastAsia="zh-CN"/>
        </w:rPr>
        <w:t>）赔偿</w:t>
      </w:r>
      <w:r>
        <w:rPr>
          <w:rFonts w:ascii="Times New Roman" w:hAnsi="Times New Roman" w:eastAsiaTheme="minorEastAsia"/>
          <w:color w:val="000000"/>
          <w:sz w:val="24"/>
          <w:szCs w:val="24"/>
        </w:rPr>
        <w:t>。</w:t>
      </w:r>
    </w:p>
    <w:p w14:paraId="4B282417">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（1）出现交通事故，乙方被认定全责或主要责任的；</w:t>
      </w:r>
    </w:p>
    <w:p w14:paraId="16648977">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（2）由于乙方装卸货物方式不当造成货物部分损坏或全部损坏的；</w:t>
      </w:r>
    </w:p>
    <w:p w14:paraId="39C3F368">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（3）由于乙方过错未按照货物的温度要求进行运输导致货物部分或全部损坏的。</w:t>
      </w:r>
    </w:p>
    <w:p w14:paraId="6136F9B9">
      <w:pPr>
        <w:pStyle w:val="18"/>
        <w:numPr>
          <w:ilvl w:val="0"/>
          <w:numId w:val="0"/>
        </w:numPr>
        <w:spacing w:before="156" w:beforeLines="50" w:after="156" w:afterLines="50" w:line="360" w:lineRule="auto"/>
        <w:ind w:leftChars="0"/>
        <w:rPr>
          <w:rFonts w:ascii="Times New Roman" w:hAnsi="Times New Roman" w:eastAsiaTheme="minorEastAsia"/>
          <w:b/>
          <w:sz w:val="24"/>
          <w:szCs w:val="24"/>
        </w:rPr>
      </w:pPr>
      <w:r>
        <w:rPr>
          <w:rFonts w:hint="eastAsia" w:ascii="Times New Roman" w:hAnsi="Times New Roman" w:eastAsiaTheme="minorEastAsia"/>
          <w:b/>
          <w:sz w:val="24"/>
          <w:szCs w:val="24"/>
          <w:lang w:eastAsia="zh-CN"/>
        </w:rPr>
        <w:t>第七条</w:t>
      </w:r>
      <w:r>
        <w:rPr>
          <w:rFonts w:hint="eastAsia" w:ascii="Times New Roman" w:hAnsi="Times New Roman" w:eastAsiaTheme="minorEastAsia"/>
          <w:b/>
          <w:sz w:val="24"/>
          <w:szCs w:val="24"/>
          <w:lang w:val="en-US" w:eastAsia="zh-CN"/>
        </w:rPr>
        <w:t xml:space="preserve">  </w:t>
      </w:r>
      <w:r>
        <w:rPr>
          <w:rFonts w:ascii="Times New Roman" w:hAnsi="Times New Roman" w:eastAsiaTheme="minorEastAsia"/>
          <w:b/>
          <w:sz w:val="24"/>
          <w:szCs w:val="24"/>
        </w:rPr>
        <w:t>保密</w:t>
      </w:r>
      <w:bookmarkEnd w:id="7"/>
    </w:p>
    <w:p w14:paraId="504623BA">
      <w:pPr>
        <w:spacing w:before="156" w:beforeLines="50" w:after="156" w:afterLines="50" w:line="360" w:lineRule="auto"/>
        <w:ind w:left="510"/>
        <w:rPr>
          <w:rFonts w:ascii="Times New Roman" w:hAnsi="Times New Roman" w:eastAsiaTheme="minorEastAsia"/>
          <w:sz w:val="24"/>
          <w:szCs w:val="24"/>
        </w:rPr>
      </w:pPr>
      <w:r>
        <w:rPr>
          <w:rFonts w:hint="eastAsia" w:ascii="Times New Roman" w:hAnsi="Times New Roman" w:eastAsiaTheme="minorEastAsia"/>
          <w:sz w:val="24"/>
          <w:szCs w:val="24"/>
        </w:rPr>
        <w:t>7</w:t>
      </w:r>
      <w:r>
        <w:rPr>
          <w:rFonts w:ascii="Times New Roman" w:hAnsi="Times New Roman" w:eastAsiaTheme="minorEastAsia"/>
          <w:sz w:val="24"/>
          <w:szCs w:val="24"/>
        </w:rPr>
        <w:t>.1</w:t>
      </w:r>
      <w:r>
        <w:rPr>
          <w:rFonts w:hint="eastAsia" w:ascii="Times New Roman" w:hAnsi="Times New Roman" w:eastAsiaTheme="minorEastAsia"/>
          <w:sz w:val="24"/>
          <w:szCs w:val="24"/>
        </w:rPr>
        <w:t>保密</w:t>
      </w:r>
    </w:p>
    <w:p w14:paraId="2BE07CA0">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除本条第</w:t>
      </w:r>
      <w:r>
        <w:rPr>
          <w:rFonts w:ascii="Times New Roman" w:hAnsi="Times New Roman" w:eastAsiaTheme="minorEastAsia"/>
          <w:sz w:val="24"/>
          <w:szCs w:val="24"/>
        </w:rPr>
        <w:t>2</w:t>
      </w:r>
      <w:r>
        <w:rPr>
          <w:rFonts w:hint="eastAsia" w:ascii="Times New Roman" w:hAnsi="Times New Roman" w:eastAsiaTheme="minorEastAsia"/>
          <w:sz w:val="24"/>
          <w:szCs w:val="24"/>
        </w:rPr>
        <w:t>款约定情形外，双方应对在本合同签订、履行过程中知晓或取得的任何无法自公开渠道获得的口头或书面资料保密，一方雇用的人员或机构对任何保密信息的披露均应被视为对该方对该等保密信息的披露。</w:t>
      </w:r>
    </w:p>
    <w:p w14:paraId="36921C2A">
      <w:pPr>
        <w:spacing w:before="156" w:beforeLines="50" w:after="156" w:afterLines="50" w:line="360" w:lineRule="auto"/>
        <w:ind w:left="495"/>
        <w:rPr>
          <w:rFonts w:ascii="Times New Roman" w:hAnsi="Times New Roman" w:eastAsiaTheme="minorEastAsia"/>
          <w:sz w:val="24"/>
          <w:szCs w:val="24"/>
        </w:rPr>
      </w:pPr>
      <w:r>
        <w:rPr>
          <w:rFonts w:ascii="Times New Roman" w:hAnsi="Times New Roman"/>
          <w:sz w:val="24"/>
        </w:rPr>
        <w:t>7.2</w:t>
      </w:r>
      <w:r>
        <w:rPr>
          <w:rFonts w:hint="eastAsia" w:ascii="Times New Roman" w:hAnsi="Times New Roman"/>
          <w:sz w:val="24"/>
          <w:lang w:val="en-US" w:eastAsia="zh-CN"/>
        </w:rPr>
        <w:t xml:space="preserve"> </w:t>
      </w:r>
      <w:r>
        <w:rPr>
          <w:rFonts w:hint="eastAsia" w:ascii="Times New Roman" w:hAnsi="Times New Roman" w:eastAsiaTheme="minorEastAsia"/>
          <w:sz w:val="24"/>
          <w:szCs w:val="24"/>
        </w:rPr>
        <w:t>例外情形</w:t>
      </w:r>
    </w:p>
    <w:p w14:paraId="54BF6F36">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下列情形下，一方可披露保密信息：</w:t>
      </w:r>
    </w:p>
    <w:p w14:paraId="78E91F7C">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）经对方书面同意；</w:t>
      </w:r>
    </w:p>
    <w:p w14:paraId="5600E3DA">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）应任何有关管辖权的法律要求；</w:t>
      </w:r>
    </w:p>
    <w:p w14:paraId="7B414015">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3</w:t>
      </w:r>
      <w:r>
        <w:rPr>
          <w:rFonts w:hint="eastAsia" w:ascii="Times New Roman" w:hAnsi="Times New Roman" w:eastAsiaTheme="minorEastAsia"/>
          <w:sz w:val="24"/>
          <w:szCs w:val="24"/>
        </w:rPr>
        <w:t>）应任何法院、政府机构或证券交易所的要求；</w:t>
      </w:r>
    </w:p>
    <w:p w14:paraId="544C0B7E">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4</w:t>
      </w:r>
      <w:r>
        <w:rPr>
          <w:rFonts w:hint="eastAsia" w:ascii="Times New Roman" w:hAnsi="Times New Roman" w:eastAsiaTheme="minorEastAsia"/>
          <w:sz w:val="24"/>
          <w:szCs w:val="24"/>
        </w:rPr>
        <w:t>）非己方过错，信息已为公众所知；</w:t>
      </w:r>
      <w:r>
        <w:rPr>
          <w:rFonts w:ascii="Times New Roman" w:hAnsi="Times New Roman" w:eastAsiaTheme="minorEastAsia"/>
          <w:sz w:val="24"/>
          <w:szCs w:val="24"/>
        </w:rPr>
        <w:t xml:space="preserve"> </w:t>
      </w:r>
    </w:p>
    <w:p w14:paraId="302E733E">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5</w:t>
      </w:r>
      <w:r>
        <w:rPr>
          <w:rFonts w:hint="eastAsia" w:ascii="Times New Roman" w:hAnsi="Times New Roman" w:eastAsiaTheme="minorEastAsia"/>
          <w:sz w:val="24"/>
          <w:szCs w:val="24"/>
        </w:rPr>
        <w:t>）向己方法律顾问等专业顾问披露；</w:t>
      </w:r>
    </w:p>
    <w:p w14:paraId="67FC976A">
      <w:pPr>
        <w:pStyle w:val="18"/>
        <w:numPr>
          <w:ilvl w:val="0"/>
          <w:numId w:val="1"/>
        </w:numPr>
        <w:spacing w:before="156" w:beforeLines="50" w:after="156" w:afterLines="50" w:line="360" w:lineRule="auto"/>
        <w:ind w:firstLineChars="0"/>
        <w:rPr>
          <w:rFonts w:ascii="Times New Roman" w:hAnsi="Times New Roman" w:eastAsiaTheme="minorEastAsia"/>
          <w:sz w:val="24"/>
          <w:szCs w:val="24"/>
        </w:rPr>
      </w:pPr>
      <w:r>
        <w:rPr>
          <w:rFonts w:hint="eastAsia" w:ascii="Times New Roman" w:hAnsi="Times New Roman" w:eastAsiaTheme="minorEastAsia"/>
          <w:sz w:val="24"/>
          <w:szCs w:val="24"/>
        </w:rPr>
        <w:t>己方并购、收购或类似交易中披露相关内容。</w:t>
      </w:r>
    </w:p>
    <w:p w14:paraId="6476ED04">
      <w:pPr>
        <w:spacing w:before="156" w:beforeLines="50" w:after="156" w:afterLines="50" w:line="360" w:lineRule="auto"/>
        <w:ind w:left="495"/>
        <w:rPr>
          <w:rFonts w:ascii="Times New Roman" w:hAnsi="Times New Roman" w:eastAsiaTheme="minorEastAsia"/>
          <w:sz w:val="24"/>
          <w:szCs w:val="24"/>
        </w:rPr>
      </w:pPr>
      <w:r>
        <w:rPr>
          <w:rFonts w:hint="eastAsia" w:ascii="Times New Roman" w:hAnsi="Times New Roman" w:eastAsiaTheme="minorEastAsia"/>
          <w:sz w:val="24"/>
          <w:szCs w:val="24"/>
        </w:rPr>
        <w:t>7</w:t>
      </w: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保密期限</w:t>
      </w:r>
    </w:p>
    <w:p w14:paraId="5D70CC36">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sz w:val="24"/>
        </w:rPr>
        <w:t>本</w:t>
      </w:r>
      <w:r>
        <w:rPr>
          <w:rFonts w:hint="eastAsia" w:ascii="Times New Roman" w:hAnsi="Times New Roman" w:eastAsiaTheme="minorEastAsia"/>
          <w:sz w:val="24"/>
          <w:szCs w:val="24"/>
        </w:rPr>
        <w:t>保密条款自本合同履行完毕后</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年内继续有效。</w:t>
      </w:r>
    </w:p>
    <w:p w14:paraId="30A88787">
      <w:pPr>
        <w:spacing w:before="156" w:beforeLines="50" w:after="156" w:afterLines="50" w:line="360" w:lineRule="auto"/>
        <w:rPr>
          <w:rFonts w:ascii="Times New Roman" w:hAnsi="Times New Roman" w:eastAsiaTheme="minorEastAsia"/>
          <w:b/>
          <w:sz w:val="24"/>
          <w:szCs w:val="24"/>
        </w:rPr>
      </w:pPr>
      <w:bookmarkStart w:id="8" w:name="_Toc392595797"/>
      <w:r>
        <w:rPr>
          <w:rFonts w:hint="eastAsia" w:ascii="Times New Roman" w:hAnsi="Times New Roman" w:eastAsiaTheme="minorEastAsia"/>
          <w:b/>
          <w:sz w:val="24"/>
          <w:szCs w:val="24"/>
          <w:lang w:eastAsia="zh-CN"/>
        </w:rPr>
        <w:t>第八条</w:t>
      </w:r>
      <w:r>
        <w:rPr>
          <w:rFonts w:hint="eastAsia" w:ascii="Times New Roman" w:hAnsi="Times New Roman" w:eastAsiaTheme="minorEastAsia"/>
          <w:b/>
          <w:sz w:val="24"/>
          <w:szCs w:val="24"/>
          <w:lang w:val="en-US" w:eastAsia="zh-CN"/>
        </w:rPr>
        <w:t xml:space="preserve">  </w:t>
      </w:r>
      <w:r>
        <w:rPr>
          <w:rFonts w:ascii="Times New Roman" w:hAnsi="Times New Roman" w:eastAsiaTheme="minorEastAsia"/>
          <w:b/>
          <w:sz w:val="24"/>
          <w:szCs w:val="24"/>
        </w:rPr>
        <w:t>不可抗力</w:t>
      </w:r>
    </w:p>
    <w:p w14:paraId="15ED49A7">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8</w:t>
      </w:r>
      <w:r>
        <w:rPr>
          <w:rFonts w:ascii="Times New Roman" w:hAnsi="Times New Roman" w:eastAsiaTheme="minorEastAsia"/>
          <w:sz w:val="24"/>
          <w:szCs w:val="24"/>
        </w:rPr>
        <w:t>.1</w:t>
      </w:r>
      <w:r>
        <w:rPr>
          <w:rFonts w:hint="eastAsia" w:ascii="Times New Roman" w:hAnsi="Times New Roman" w:eastAsiaTheme="minorEastAsia"/>
          <w:sz w:val="24"/>
          <w:szCs w:val="24"/>
        </w:rPr>
        <w:t>不可抗力影响本合同的履行或使本合同不能履行的情形下，遭受不可抗力一方应立即通知对方，并应在不可抗力发生后</w:t>
      </w:r>
      <w:r>
        <w:rPr>
          <w:rFonts w:ascii="Times New Roman" w:hAnsi="Times New Roman" w:eastAsiaTheme="minorEastAsia"/>
          <w:sz w:val="24"/>
          <w:szCs w:val="24"/>
        </w:rPr>
        <w:t>15</w:t>
      </w:r>
      <w:r>
        <w:rPr>
          <w:rFonts w:hint="eastAsia" w:ascii="Times New Roman" w:hAnsi="Times New Roman" w:eastAsiaTheme="minorEastAsia"/>
          <w:sz w:val="24"/>
          <w:szCs w:val="24"/>
        </w:rPr>
        <w:t>天内提供不可抗力的详情以及证明本合同不能履行、需延期履行或只能部分履行的有效证明文件。遭受不可抗力一方应采取合理的措施，以减少不可抗力带来的影响。</w:t>
      </w:r>
    </w:p>
    <w:p w14:paraId="5C8858F4">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8</w:t>
      </w:r>
      <w:r>
        <w:rPr>
          <w:rFonts w:ascii="Times New Roman" w:hAnsi="Times New Roman" w:eastAsiaTheme="minorEastAsia"/>
          <w:sz w:val="24"/>
          <w:szCs w:val="24"/>
        </w:rPr>
        <w:t>.2</w:t>
      </w:r>
      <w:r>
        <w:rPr>
          <w:rFonts w:hint="eastAsia" w:ascii="Times New Roman" w:hAnsi="Times New Roman" w:eastAsiaTheme="minorEastAsia"/>
          <w:sz w:val="24"/>
          <w:szCs w:val="24"/>
        </w:rPr>
        <w:t>上款所称“不可抗力”指不能预见、不能避免或不能克服的客观事件，包括但不限于自然灾害，包括但不限于洪水、火灾、爆炸、雷电、地震和风暴，以及社会事件，包括但不限于基础电信运营商网络出现严重电力或网络故障，以及战争、动乱、政府行为、国家政策的突然变动和罢工。</w:t>
      </w:r>
    </w:p>
    <w:p w14:paraId="4088F521">
      <w:pPr>
        <w:spacing w:before="156" w:beforeLines="50" w:after="156" w:afterLines="50" w:line="360" w:lineRule="auto"/>
        <w:rPr>
          <w:rFonts w:ascii="Times New Roman" w:hAnsi="Times New Roman" w:eastAsiaTheme="minorEastAsia"/>
          <w:b/>
          <w:sz w:val="24"/>
          <w:szCs w:val="24"/>
        </w:rPr>
      </w:pPr>
      <w:r>
        <w:rPr>
          <w:rFonts w:hint="eastAsia" w:ascii="Times New Roman" w:hAnsi="Times New Roman" w:eastAsiaTheme="minorEastAsia"/>
          <w:b/>
          <w:bCs/>
          <w:sz w:val="24"/>
          <w:szCs w:val="24"/>
          <w:lang w:eastAsia="zh-CN"/>
        </w:rPr>
        <w:t>第九条</w:t>
      </w:r>
      <w:r>
        <w:rPr>
          <w:rFonts w:hint="eastAsia" w:ascii="Times New Roman" w:hAnsi="Times New Roman" w:eastAsiaTheme="minorEastAsia"/>
          <w:b/>
          <w:bCs/>
          <w:sz w:val="24"/>
          <w:szCs w:val="24"/>
          <w:lang w:val="en-US" w:eastAsia="zh-CN"/>
        </w:rPr>
        <w:t xml:space="preserve">  </w:t>
      </w:r>
      <w:r>
        <w:rPr>
          <w:rFonts w:hint="eastAsia" w:ascii="Times New Roman" w:hAnsi="Times New Roman" w:eastAsiaTheme="minorEastAsia"/>
          <w:b/>
          <w:bCs/>
          <w:sz w:val="24"/>
          <w:szCs w:val="24"/>
        </w:rPr>
        <w:t xml:space="preserve">合同有效期、解除和终止     </w:t>
      </w:r>
      <w:r>
        <w:rPr>
          <w:rFonts w:ascii="Times New Roman" w:hAnsi="Times New Roman" w:eastAsiaTheme="minorEastAsia"/>
          <w:b/>
          <w:sz w:val="24"/>
          <w:szCs w:val="24"/>
        </w:rPr>
        <w:t xml:space="preserve">                                                      </w:t>
      </w:r>
    </w:p>
    <w:p w14:paraId="195BB92A">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9.1 本合同有效期限自</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年</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月</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日起至</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年</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月</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日止。</w:t>
      </w:r>
    </w:p>
    <w:p w14:paraId="2A2A91E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本合同期限届满后，双方若未能就续约事宜达成一致，本合同终止；若双方就续约事宜达成一致，双方应重新签订仓配一体服务合同。</w:t>
      </w:r>
    </w:p>
    <w:p w14:paraId="3C5AAF9F">
      <w:pPr>
        <w:spacing w:before="0" w:beforeLines="-2147483648" w:after="0" w:afterLines="-2147483648"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9.3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若一方需提前终止本合同，应提前一个月书面通知对方，经双方协商一致同意可提前终止本合同，双方签订终止协议。</w:t>
      </w:r>
      <w:r>
        <w:rPr>
          <w:rFonts w:hint="default" w:ascii="Times New Roman" w:hAnsi="Times New Roman" w:eastAsiaTheme="minorEastAsia"/>
          <w:sz w:val="24"/>
          <w:szCs w:val="24"/>
          <w:lang w:val="en-US" w:eastAsia="zh-CN"/>
        </w:rPr>
        <w:t>否则</w:t>
      </w:r>
      <w:r>
        <w:rPr>
          <w:rFonts w:hint="default" w:ascii="Times New Roman" w:hAnsi="Times New Roman" w:cs="Times New Roman" w:eastAsiaTheme="minorEastAsia"/>
          <w:sz w:val="24"/>
          <w:szCs w:val="24"/>
        </w:rPr>
        <w:t>需支付</w:t>
      </w:r>
      <w:r>
        <w:rPr>
          <w:rFonts w:hint="default" w:ascii="Times New Roman" w:hAnsi="Times New Roman" w:cs="Times New Roman" w:eastAsiaTheme="minorEastAsia"/>
          <w:sz w:val="24"/>
          <w:szCs w:val="24"/>
          <w:lang w:val="en-US" w:eastAsia="zh-CN"/>
        </w:rPr>
        <w:t>对方三</w:t>
      </w:r>
      <w:r>
        <w:rPr>
          <w:rFonts w:hint="default" w:ascii="Times New Roman" w:hAnsi="Times New Roman" w:cs="Times New Roman" w:eastAsiaTheme="minorEastAsia"/>
          <w:sz w:val="24"/>
          <w:szCs w:val="24"/>
        </w:rPr>
        <w:t>个月的服务费用作为违约金，具体金额为合作期间的最近三个月平均费用。</w:t>
      </w:r>
    </w:p>
    <w:p w14:paraId="3CD6B27A">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9.4</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有下列情形之一，乙方有权选择提前解除本合同，并要求甲方承担全部法律责任并赔偿乙方全部经济损失：</w:t>
      </w:r>
    </w:p>
    <w:p w14:paraId="78D7C8C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9.4.</w:t>
      </w:r>
      <w:r>
        <w:rPr>
          <w:rFonts w:hint="eastAsia" w:ascii="Times New Roman" w:hAnsi="Times New Roman" w:eastAsiaTheme="minorEastAsia"/>
          <w:sz w:val="24"/>
          <w:szCs w:val="24"/>
          <w:lang w:val="en-US" w:eastAsia="zh-CN"/>
        </w:rPr>
        <w:t xml:space="preserve">1 </w:t>
      </w:r>
      <w:r>
        <w:rPr>
          <w:rFonts w:ascii="Times New Roman" w:hAnsi="Times New Roman" w:eastAsiaTheme="minorEastAsia"/>
          <w:sz w:val="24"/>
          <w:szCs w:val="24"/>
        </w:rPr>
        <w:t>甲方无法定事由</w:t>
      </w:r>
      <w:r>
        <w:rPr>
          <w:rFonts w:hint="eastAsia" w:ascii="Times New Roman" w:hAnsi="Times New Roman" w:eastAsiaTheme="minorEastAsia"/>
          <w:sz w:val="24"/>
          <w:szCs w:val="24"/>
          <w:lang w:val="en-US" w:eastAsia="zh-CN"/>
        </w:rPr>
        <w:t>拖延结算服务费用或</w:t>
      </w:r>
      <w:r>
        <w:rPr>
          <w:rFonts w:ascii="Times New Roman" w:hAnsi="Times New Roman" w:eastAsiaTheme="minorEastAsia"/>
          <w:sz w:val="24"/>
          <w:szCs w:val="24"/>
        </w:rPr>
        <w:t>拖欠乙方全部或部分结算费用超过15日。</w:t>
      </w:r>
    </w:p>
    <w:p w14:paraId="5EAF10BB">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eastAsiaTheme="minorEastAsia"/>
          <w:sz w:val="24"/>
          <w:szCs w:val="24"/>
        </w:rPr>
        <w:t>9.4.</w:t>
      </w:r>
      <w:r>
        <w:rPr>
          <w:rFonts w:hint="eastAsia" w:ascii="Times New Roman" w:hAnsi="Times New Roman" w:eastAsiaTheme="minorEastAsia"/>
          <w:sz w:val="24"/>
          <w:szCs w:val="24"/>
          <w:lang w:val="en-US" w:eastAsia="zh-CN"/>
        </w:rPr>
        <w:t>2</w:t>
      </w:r>
      <w:r>
        <w:rPr>
          <w:rFonts w:ascii="Times New Roman" w:hAnsi="Times New Roman" w:eastAsiaTheme="minorEastAsia"/>
          <w:sz w:val="24"/>
          <w:szCs w:val="24"/>
        </w:rPr>
        <w:t>甲方通过乙方提供的</w:t>
      </w:r>
      <w:r>
        <w:rPr>
          <w:rFonts w:ascii="Times New Roman" w:hAnsi="Times New Roman" w:eastAsiaTheme="minorEastAsia"/>
          <w:b w:val="0"/>
          <w:bCs w:val="0"/>
          <w:sz w:val="24"/>
          <w:szCs w:val="24"/>
        </w:rPr>
        <w:t>承运车辆</w:t>
      </w:r>
      <w:r>
        <w:rPr>
          <w:rFonts w:hint="eastAsia" w:ascii="Times New Roman" w:hAnsi="Times New Roman" w:eastAsiaTheme="minorEastAsia"/>
          <w:b w:val="0"/>
          <w:bCs w:val="0"/>
          <w:sz w:val="24"/>
          <w:szCs w:val="24"/>
          <w:lang w:val="en-US" w:eastAsia="zh-CN"/>
        </w:rPr>
        <w:t>/库房</w:t>
      </w:r>
      <w:r>
        <w:rPr>
          <w:rFonts w:ascii="Times New Roman" w:hAnsi="Times New Roman" w:eastAsiaTheme="minorEastAsia"/>
          <w:b w:val="0"/>
          <w:bCs w:val="0"/>
          <w:sz w:val="24"/>
          <w:szCs w:val="24"/>
        </w:rPr>
        <w:t>运</w:t>
      </w:r>
      <w:r>
        <w:rPr>
          <w:rFonts w:ascii="Times New Roman" w:hAnsi="Times New Roman" w:eastAsiaTheme="minorEastAsia"/>
          <w:sz w:val="24"/>
          <w:szCs w:val="24"/>
        </w:rPr>
        <w:t>送</w:t>
      </w:r>
      <w:r>
        <w:rPr>
          <w:rFonts w:hint="eastAsia" w:ascii="Times New Roman" w:hAnsi="Times New Roman" w:eastAsiaTheme="minorEastAsia"/>
          <w:sz w:val="24"/>
          <w:szCs w:val="24"/>
          <w:lang w:val="en-US" w:eastAsia="zh-CN"/>
        </w:rPr>
        <w:t>/储存</w:t>
      </w:r>
      <w:r>
        <w:rPr>
          <w:rFonts w:ascii="Times New Roman" w:hAnsi="Times New Roman" w:eastAsiaTheme="minorEastAsia"/>
          <w:sz w:val="24"/>
          <w:szCs w:val="24"/>
        </w:rPr>
        <w:t>有毒和易燃易爆或违反法律法规的物品，未如实告知或故意掩盖货物性质的。</w:t>
      </w:r>
    </w:p>
    <w:p w14:paraId="21FFA4BF">
      <w:pPr>
        <w:pStyle w:val="2"/>
        <w:ind w:firstLine="480" w:firstLineChars="200"/>
        <w:rPr>
          <w:rFonts w:hint="default" w:ascii="Times New Roman" w:hAnsi="Times New Roman" w:eastAsiaTheme="minorEastAsia"/>
          <w:sz w:val="24"/>
          <w:szCs w:val="24"/>
          <w:lang w:val="en-US" w:eastAsia="zh-CN"/>
        </w:rPr>
      </w:pPr>
      <w:r>
        <w:rPr>
          <w:rFonts w:hint="default" w:ascii="Times New Roman" w:hAnsi="Times New Roman" w:eastAsiaTheme="minorEastAsia"/>
          <w:sz w:val="24"/>
          <w:szCs w:val="24"/>
          <w:lang w:val="en-US" w:eastAsia="zh-CN"/>
        </w:rPr>
        <w:t>9.4.</w:t>
      </w:r>
      <w:r>
        <w:rPr>
          <w:rFonts w:hint="eastAsia" w:ascii="Times New Roman" w:hAnsi="Times New Roman" w:eastAsiaTheme="minorEastAsia"/>
          <w:sz w:val="24"/>
          <w:szCs w:val="24"/>
          <w:lang w:val="en-US" w:eastAsia="zh-CN"/>
        </w:rPr>
        <w:t>3</w:t>
      </w:r>
      <w:r>
        <w:rPr>
          <w:rFonts w:hint="default" w:ascii="Times New Roman" w:hAnsi="Times New Roman" w:eastAsiaTheme="minorEastAsia"/>
          <w:sz w:val="24"/>
          <w:szCs w:val="24"/>
          <w:lang w:val="en-US" w:eastAsia="zh-CN"/>
        </w:rPr>
        <w:t xml:space="preserve"> 甲方存在其他违约情形，经乙方书面告知后仍未纠正的。</w:t>
      </w:r>
    </w:p>
    <w:p w14:paraId="5839C7D7">
      <w:pPr>
        <w:spacing w:before="156" w:beforeLines="50" w:after="156" w:afterLines="50" w:line="360" w:lineRule="auto"/>
        <w:ind w:left="15" w:leftChars="7" w:firstLine="480" w:firstLineChars="200"/>
        <w:rPr>
          <w:rFonts w:ascii="Times New Roman" w:hAnsi="Times New Roman" w:eastAsiaTheme="minorEastAsia"/>
          <w:b w:val="0"/>
          <w:bCs w:val="0"/>
          <w:sz w:val="24"/>
          <w:szCs w:val="24"/>
        </w:rPr>
      </w:pPr>
      <w:r>
        <w:rPr>
          <w:rFonts w:ascii="Times New Roman" w:hAnsi="Times New Roman" w:eastAsiaTheme="minorEastAsia"/>
          <w:sz w:val="24"/>
          <w:szCs w:val="24"/>
        </w:rPr>
        <w:t>乙方依据上述情形提前</w:t>
      </w:r>
      <w:r>
        <w:rPr>
          <w:rFonts w:hint="default" w:ascii="Times New Roman" w:hAnsi="Times New Roman" w:eastAsiaTheme="minorEastAsia"/>
          <w:sz w:val="24"/>
          <w:szCs w:val="24"/>
        </w:rPr>
        <w:t>解除本合同</w:t>
      </w:r>
      <w:r>
        <w:rPr>
          <w:rFonts w:ascii="Times New Roman" w:hAnsi="Times New Roman" w:eastAsiaTheme="minorEastAsia"/>
          <w:sz w:val="24"/>
          <w:szCs w:val="24"/>
        </w:rPr>
        <w:t>时，应书面通知甲方。乙方亦可选择不予</w:t>
      </w:r>
      <w:r>
        <w:rPr>
          <w:rFonts w:hint="default" w:ascii="Times New Roman" w:hAnsi="Times New Roman" w:eastAsiaTheme="minorEastAsia"/>
          <w:sz w:val="24"/>
          <w:szCs w:val="24"/>
        </w:rPr>
        <w:t>解除本合同，</w:t>
      </w:r>
      <w:r>
        <w:rPr>
          <w:rFonts w:ascii="Times New Roman" w:hAnsi="Times New Roman" w:eastAsiaTheme="minorEastAsia"/>
          <w:sz w:val="24"/>
          <w:szCs w:val="24"/>
        </w:rPr>
        <w:t>但</w:t>
      </w:r>
      <w:r>
        <w:rPr>
          <w:rFonts w:hint="default" w:ascii="Times New Roman" w:hAnsi="Times New Roman" w:eastAsiaTheme="minorEastAsia"/>
          <w:sz w:val="24"/>
          <w:szCs w:val="24"/>
          <w:lang w:val="en-US" w:eastAsia="zh-CN"/>
        </w:rPr>
        <w:t>不论</w:t>
      </w:r>
      <w:r>
        <w:rPr>
          <w:rFonts w:ascii="Times New Roman" w:hAnsi="Times New Roman" w:eastAsiaTheme="minorEastAsia"/>
          <w:sz w:val="24"/>
          <w:szCs w:val="24"/>
        </w:rPr>
        <w:t>乙方</w:t>
      </w:r>
      <w:r>
        <w:rPr>
          <w:rFonts w:hint="default" w:ascii="Times New Roman" w:hAnsi="Times New Roman" w:eastAsiaTheme="minorEastAsia"/>
          <w:sz w:val="24"/>
          <w:szCs w:val="24"/>
          <w:lang w:val="en-US" w:eastAsia="zh-CN"/>
        </w:rPr>
        <w:t>选择继续履行合同或提前解除合同，乙方均</w:t>
      </w:r>
      <w:r>
        <w:rPr>
          <w:rFonts w:ascii="Times New Roman" w:hAnsi="Times New Roman" w:eastAsiaTheme="minorEastAsia"/>
          <w:sz w:val="24"/>
          <w:szCs w:val="24"/>
        </w:rPr>
        <w:t>有权要求甲方按</w:t>
      </w:r>
      <w:r>
        <w:rPr>
          <w:rFonts w:hint="eastAsia" w:ascii="Times New Roman" w:hAnsi="Times New Roman" w:eastAsiaTheme="minorEastAsia"/>
          <w:sz w:val="24"/>
          <w:szCs w:val="24"/>
          <w:lang w:val="en-US" w:eastAsia="zh-CN"/>
        </w:rPr>
        <w:t>9.3条</w:t>
      </w:r>
      <w:r>
        <w:rPr>
          <w:rFonts w:ascii="Times New Roman" w:hAnsi="Times New Roman" w:eastAsiaTheme="minorEastAsia"/>
          <w:sz w:val="24"/>
          <w:szCs w:val="24"/>
        </w:rPr>
        <w:t>约定承担违约责任</w:t>
      </w:r>
      <w:r>
        <w:rPr>
          <w:rFonts w:hint="default" w:ascii="Times New Roman" w:hAnsi="Times New Roman" w:eastAsiaTheme="minorEastAsia"/>
          <w:sz w:val="24"/>
          <w:szCs w:val="24"/>
        </w:rPr>
        <w:t>并</w:t>
      </w:r>
      <w:r>
        <w:rPr>
          <w:rFonts w:ascii="Times New Roman" w:hAnsi="Times New Roman" w:eastAsiaTheme="minorEastAsia"/>
          <w:sz w:val="24"/>
          <w:szCs w:val="24"/>
        </w:rPr>
        <w:t>赔偿乙方全部经济损失。</w:t>
      </w:r>
      <w:r>
        <w:rPr>
          <w:rFonts w:hint="default" w:ascii="Times New Roman" w:hAnsi="Times New Roman" w:eastAsiaTheme="minorEastAsia"/>
          <w:sz w:val="24"/>
          <w:szCs w:val="24"/>
          <w:lang w:val="en-US" w:eastAsia="zh-CN"/>
        </w:rPr>
        <w:t>甲</w:t>
      </w:r>
      <w:r>
        <w:rPr>
          <w:rFonts w:hint="default" w:ascii="Times New Roman" w:hAnsi="Times New Roman" w:cs="Times New Roman" w:eastAsiaTheme="minorEastAsia"/>
          <w:color w:val="auto"/>
          <w:sz w:val="24"/>
          <w:szCs w:val="24"/>
          <w:highlight w:val="none"/>
          <w:lang w:val="en-US" w:eastAsia="zh-CN"/>
        </w:rPr>
        <w:t>方赔偿范围包括但不限于乙方因提前解除合同或</w:t>
      </w:r>
      <w:r>
        <w:rPr>
          <w:rFonts w:hint="eastAsia" w:ascii="Times New Roman" w:hAnsi="Times New Roman" w:cs="Times New Roman" w:eastAsiaTheme="minorEastAsia"/>
          <w:sz w:val="24"/>
          <w:szCs w:val="24"/>
          <w:lang w:val="en-US" w:eastAsia="zh-CN"/>
        </w:rPr>
        <w:t>因</w:t>
      </w:r>
      <w:r>
        <w:rPr>
          <w:rFonts w:hint="default" w:ascii="Times New Roman" w:hAnsi="Times New Roman" w:cs="Times New Roman" w:eastAsiaTheme="minorEastAsia"/>
          <w:color w:val="auto"/>
          <w:sz w:val="24"/>
          <w:szCs w:val="24"/>
          <w:highlight w:val="none"/>
          <w:lang w:val="en-US" w:eastAsia="zh-CN"/>
        </w:rPr>
        <w:t>甲方违约</w:t>
      </w:r>
      <w:r>
        <w:rPr>
          <w:rFonts w:hint="eastAsia" w:ascii="Times New Roman" w:hAnsi="Times New Roman" w:cs="Times New Roman" w:eastAsiaTheme="minorEastAsia"/>
          <w:sz w:val="24"/>
          <w:szCs w:val="24"/>
          <w:lang w:val="en-US" w:eastAsia="zh-CN"/>
        </w:rPr>
        <w:t>而</w:t>
      </w:r>
      <w:r>
        <w:rPr>
          <w:rFonts w:hint="default" w:ascii="Times New Roman" w:hAnsi="Times New Roman" w:cs="Times New Roman" w:eastAsiaTheme="minorEastAsia"/>
          <w:color w:val="auto"/>
          <w:sz w:val="24"/>
          <w:szCs w:val="24"/>
          <w:highlight w:val="none"/>
          <w:lang w:val="en-US" w:eastAsia="zh-CN"/>
        </w:rPr>
        <w:t>遭受的经营利润损失、人工损失、运费损失、对第三方的违约责任和损失赔偿、诉讼费、保全费、律师费、办案差旅费、鉴定费、公证费、行政罚款等合理费用。</w:t>
      </w:r>
    </w:p>
    <w:p w14:paraId="4F604CD0">
      <w:pPr>
        <w:spacing w:before="156" w:beforeLines="50" w:after="156" w:afterLines="50" w:line="360" w:lineRule="auto"/>
        <w:ind w:left="15" w:leftChars="7" w:firstLine="480" w:firstLineChars="200"/>
      </w:pPr>
      <w:r>
        <w:rPr>
          <w:rFonts w:hint="eastAsia" w:ascii="宋体" w:hAnsi="宋体" w:eastAsia="宋体" w:cs="宋体"/>
          <w:sz w:val="24"/>
          <w:szCs w:val="24"/>
          <w:lang w:val="en-US" w:eastAsia="zh-CN"/>
        </w:rPr>
        <w:t>9.5 乙方因疫情影响或油价变动较大或库房价格变动较大等原因造成项目亏损、无法正常运营项目的，乙方有权与甲方协商，双方本着公平原则处理。若双方最终未能达成一致意见的，乙方有权单方无责终止本合同，但应提前30日通知甲方。</w:t>
      </w:r>
    </w:p>
    <w:p w14:paraId="2E530D9F">
      <w:pPr>
        <w:spacing w:before="156" w:beforeLines="50" w:after="156" w:afterLines="50" w:line="360" w:lineRule="auto"/>
        <w:rPr>
          <w:rFonts w:hint="eastAsia" w:ascii="宋体" w:hAnsi="宋体" w:eastAsia="宋体" w:cs="宋体"/>
          <w:b w:val="0"/>
          <w:bCs w:val="0"/>
          <w:sz w:val="24"/>
          <w:szCs w:val="24"/>
        </w:rPr>
      </w:pPr>
      <w:r>
        <w:rPr>
          <w:rFonts w:hint="eastAsia" w:ascii="Times New Roman" w:hAnsi="Times New Roman" w:eastAsiaTheme="minorEastAsia"/>
          <w:b/>
          <w:bCs/>
          <w:sz w:val="24"/>
          <w:szCs w:val="24"/>
          <w:lang w:eastAsia="zh-CN"/>
        </w:rPr>
        <w:t>第十条</w:t>
      </w:r>
      <w:r>
        <w:rPr>
          <w:rFonts w:hint="eastAsia" w:ascii="Times New Roman" w:hAnsi="Times New Roman" w:eastAsiaTheme="minorEastAsia"/>
          <w:b/>
          <w:bCs/>
          <w:sz w:val="24"/>
          <w:szCs w:val="24"/>
          <w:lang w:val="en-US" w:eastAsia="zh-CN"/>
        </w:rPr>
        <w:t xml:space="preserve">  </w:t>
      </w:r>
      <w:r>
        <w:rPr>
          <w:rFonts w:hint="eastAsia" w:ascii="Times New Roman" w:hAnsi="Times New Roman" w:eastAsiaTheme="minorEastAsia"/>
          <w:b/>
          <w:bCs/>
          <w:sz w:val="24"/>
          <w:szCs w:val="24"/>
        </w:rPr>
        <w:t>价格调整机制</w:t>
      </w:r>
    </w:p>
    <w:p w14:paraId="37D1DC9C">
      <w:pPr>
        <w:widowControl/>
        <w:spacing w:before="156" w:beforeLines="50" w:after="156" w:afterLines="50"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双方一致</w:t>
      </w:r>
      <w:r>
        <w:rPr>
          <w:rFonts w:hint="eastAsia" w:asciiTheme="minorEastAsia" w:hAnsiTheme="minorEastAsia" w:eastAsiaTheme="minorEastAsia" w:cstheme="minorEastAsia"/>
          <w:sz w:val="24"/>
          <w:szCs w:val="22"/>
          <w:lang w:val="en-US" w:eastAsia="zh-CN"/>
        </w:rPr>
        <w:t>同意</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本协议签订时以【  】元/升</w:t>
      </w:r>
      <w:r>
        <w:rPr>
          <w:rFonts w:hint="eastAsia" w:asciiTheme="minorEastAsia" w:hAnsiTheme="minorEastAsia" w:eastAsiaTheme="minorEastAsia" w:cstheme="minorEastAsia"/>
          <w:sz w:val="24"/>
          <w:szCs w:val="22"/>
        </w:rPr>
        <w:t>价格为基准</w:t>
      </w:r>
      <w:r>
        <w:rPr>
          <w:rFonts w:hint="eastAsia" w:asciiTheme="minorEastAsia" w:hAnsiTheme="minorEastAsia" w:eastAsiaTheme="minorEastAsia" w:cstheme="minorEastAsia"/>
          <w:sz w:val="24"/>
          <w:szCs w:val="22"/>
          <w:lang w:val="en-US" w:eastAsia="zh-CN"/>
        </w:rPr>
        <w:t>油价</w:t>
      </w:r>
      <w:r>
        <w:rPr>
          <w:rFonts w:hint="eastAsia" w:asciiTheme="minorEastAsia" w:hAnsiTheme="minorEastAsia" w:eastAsiaTheme="minorEastAsia" w:cstheme="minorEastAsia"/>
          <w:sz w:val="24"/>
          <w:szCs w:val="22"/>
        </w:rPr>
        <w:t>，在合同的</w:t>
      </w:r>
      <w:r>
        <w:rPr>
          <w:rFonts w:hint="eastAsia" w:asciiTheme="minorEastAsia" w:hAnsiTheme="minorEastAsia" w:eastAsiaTheme="minorEastAsia" w:cstheme="minorEastAsia"/>
          <w:sz w:val="24"/>
          <w:szCs w:val="24"/>
        </w:rPr>
        <w:t>有效期内，若国家（以国家发改委通知为基准）调整0#柴油价格超过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%，甲方按照以下标准对乙方进行运费补贴：</w:t>
      </w:r>
    </w:p>
    <w:p w14:paraId="209D2539">
      <w:pPr>
        <w:widowControl/>
        <w:spacing w:before="156" w:beforeLines="50" w:after="156" w:afterLines="50"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运费补贴=基准价格*（新0#柴油价格-0#价格基准价）/0#柴油基准价*35%</w:t>
      </w:r>
    </w:p>
    <w:p w14:paraId="5F8ACF27">
      <w:pPr>
        <w:spacing w:before="156" w:beforeLines="50" w:after="156" w:afterLines="50" w:line="360" w:lineRule="auto"/>
        <w:ind w:left="15" w:leftChars="7" w:firstLine="480" w:firstLineChars="200"/>
        <w:rPr>
          <w:rFonts w:hint="eastAsia" w:ascii="Times New Roman" w:hAnsi="Times New Roman"/>
          <w:sz w:val="24"/>
          <w:u w:val="single"/>
        </w:rPr>
      </w:pPr>
      <w:r>
        <w:rPr>
          <w:rFonts w:hint="eastAsia" w:ascii="宋体" w:hAnsi="宋体" w:eastAsia="宋体" w:cs="宋体"/>
          <w:kern w:val="0"/>
          <w:sz w:val="24"/>
          <w:szCs w:val="24"/>
          <w:lang w:val="en-US" w:eastAsia="zh-CN" w:bidi="ar"/>
        </w:rPr>
        <w:t>即甲方届时每月支付的服务总费用为：本合同约定的服务费用加上运费补贴。</w:t>
      </w:r>
    </w:p>
    <w:bookmarkEnd w:id="8"/>
    <w:p w14:paraId="136524BA">
      <w:pPr>
        <w:numPr>
          <w:ilvl w:val="0"/>
          <w:numId w:val="2"/>
        </w:numPr>
        <w:spacing w:before="156" w:beforeLines="50" w:after="156" w:afterLines="50" w:line="360" w:lineRule="auto"/>
        <w:ind w:firstLine="118" w:firstLineChars="49"/>
        <w:rPr>
          <w:rFonts w:ascii="Times New Roman" w:hAnsi="Times New Roman" w:eastAsiaTheme="minorEastAsia"/>
          <w:b/>
          <w:sz w:val="24"/>
          <w:szCs w:val="24"/>
        </w:rPr>
      </w:pP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争议</w:t>
      </w:r>
      <w:r>
        <w:rPr>
          <w:rFonts w:ascii="Times New Roman" w:hAnsi="Times New Roman" w:eastAsiaTheme="minorEastAsia"/>
          <w:b/>
          <w:sz w:val="24"/>
          <w:szCs w:val="24"/>
        </w:rPr>
        <w:t>解决</w:t>
      </w:r>
    </w:p>
    <w:p w14:paraId="08F3CD11">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本协议履行过程中如发生争议，双方应友好协商解决。如协商不成的，应向</w:t>
      </w:r>
      <w:r>
        <w:rPr>
          <w:rFonts w:hint="eastAsia" w:ascii="宋体" w:hAnsi="宋体" w:eastAsia="宋体" w:cs="宋体"/>
          <w:sz w:val="24"/>
          <w:szCs w:val="24"/>
          <w:lang w:eastAsia="zh-CN"/>
        </w:rPr>
        <w:t>合同签订</w:t>
      </w:r>
      <w:r>
        <w:rPr>
          <w:rFonts w:hint="eastAsia" w:ascii="宋体" w:hAnsi="宋体" w:eastAsia="宋体" w:cs="宋体"/>
          <w:sz w:val="24"/>
          <w:szCs w:val="24"/>
        </w:rPr>
        <w:t>地人民法院提起诉讼。</w:t>
      </w:r>
    </w:p>
    <w:p w14:paraId="7F48753F">
      <w:pPr>
        <w:spacing w:before="156" w:beforeLines="50" w:after="156" w:afterLines="50" w:line="360" w:lineRule="auto"/>
        <w:ind w:firstLine="118" w:firstLineChars="49"/>
        <w:rPr>
          <w:rFonts w:ascii="Times New Roman" w:hAnsi="Times New Roman" w:eastAsiaTheme="minorEastAsia"/>
          <w:b/>
          <w:sz w:val="24"/>
          <w:szCs w:val="24"/>
        </w:rPr>
      </w:pPr>
      <w:r>
        <w:rPr>
          <w:rFonts w:hint="eastAsia" w:ascii="Times New Roman" w:hAnsi="Times New Roman" w:eastAsiaTheme="minorEastAsia"/>
          <w:b/>
          <w:sz w:val="24"/>
          <w:szCs w:val="24"/>
          <w:lang w:eastAsia="zh-CN"/>
        </w:rPr>
        <w:t>第十二条</w:t>
      </w:r>
      <w:r>
        <w:rPr>
          <w:rFonts w:hint="eastAsia" w:ascii="Times New Roman" w:hAnsi="Times New Roman" w:eastAsiaTheme="minorEastAsia"/>
          <w:b/>
          <w:sz w:val="24"/>
          <w:szCs w:val="24"/>
          <w:lang w:val="en-US" w:eastAsia="zh-CN"/>
        </w:rPr>
        <w:t xml:space="preserve">  </w:t>
      </w:r>
      <w:r>
        <w:rPr>
          <w:rFonts w:ascii="Times New Roman" w:hAnsi="Times New Roman" w:eastAsiaTheme="minorEastAsia"/>
          <w:b/>
          <w:sz w:val="24"/>
          <w:szCs w:val="24"/>
        </w:rPr>
        <w:t>其他</w:t>
      </w:r>
    </w:p>
    <w:p w14:paraId="277ED523">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6E941B64">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BE73A6F">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6416E1F5">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3BE8326B">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F7C0054">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FF68264">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88A45F0">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178B3D39">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B5EF078">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5702E7BA">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4F0C5A36">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6E0F8B97">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eastAsiaTheme="minorEastAsia"/>
          <w:sz w:val="24"/>
          <w:szCs w:val="24"/>
        </w:rPr>
        <w:t>12.1本合同</w:t>
      </w:r>
      <w:r>
        <w:rPr>
          <w:rFonts w:hint="eastAsia" w:ascii="Times New Roman" w:hAnsi="Times New Roman" w:eastAsiaTheme="minorEastAsia"/>
          <w:sz w:val="24"/>
          <w:szCs w:val="24"/>
        </w:rPr>
        <w:t>项下一切文件资料、</w:t>
      </w:r>
      <w:r>
        <w:rPr>
          <w:rFonts w:ascii="Times New Roman" w:hAnsi="Times New Roman" w:eastAsiaTheme="minorEastAsia"/>
          <w:sz w:val="24"/>
          <w:szCs w:val="24"/>
        </w:rPr>
        <w:t>通知</w:t>
      </w:r>
      <w:r>
        <w:rPr>
          <w:rFonts w:hint="eastAsia" w:ascii="Times New Roman" w:hAnsi="Times New Roman" w:eastAsiaTheme="minorEastAsia"/>
          <w:sz w:val="24"/>
          <w:szCs w:val="24"/>
        </w:rPr>
        <w:t>或权利主张等</w:t>
      </w:r>
      <w:r>
        <w:rPr>
          <w:rFonts w:ascii="Times New Roman" w:hAnsi="Times New Roman" w:eastAsiaTheme="minorEastAsia"/>
          <w:sz w:val="24"/>
          <w:szCs w:val="24"/>
        </w:rPr>
        <w:t>均按下述地址</w:t>
      </w:r>
      <w:r>
        <w:rPr>
          <w:rFonts w:hint="eastAsia" w:ascii="Times New Roman" w:hAnsi="Times New Roman" w:eastAsiaTheme="minorEastAsia"/>
          <w:sz w:val="24"/>
          <w:szCs w:val="24"/>
        </w:rPr>
        <w:t>进行送达</w:t>
      </w:r>
      <w:r>
        <w:rPr>
          <w:rFonts w:ascii="Times New Roman" w:hAnsi="Times New Roman" w:eastAsiaTheme="minorEastAsia"/>
          <w:sz w:val="24"/>
          <w:szCs w:val="24"/>
        </w:rPr>
        <w:t>：</w:t>
      </w:r>
    </w:p>
    <w:p w14:paraId="438562AF">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甲方地址： 【                          】 </w:t>
      </w:r>
    </w:p>
    <w:p w14:paraId="5D6FBE22">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甲方联系人：【                          】</w:t>
      </w:r>
    </w:p>
    <w:p w14:paraId="1D5A5390">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联系电话（微信号）：【                  】</w:t>
      </w:r>
    </w:p>
    <w:p w14:paraId="76929F9C">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邮箱地址：【                            】</w:t>
      </w:r>
    </w:p>
    <w:p w14:paraId="3E302A1E">
      <w:pPr>
        <w:pStyle w:val="2"/>
        <w:rPr>
          <w:rFonts w:hint="eastAsia"/>
          <w:lang w:val="en-US" w:eastAsia="zh-CN"/>
        </w:rPr>
      </w:pPr>
    </w:p>
    <w:p w14:paraId="2E9C2810">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乙方地址：【                         】</w:t>
      </w:r>
    </w:p>
    <w:p w14:paraId="037606BF">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乙方联系人：【                       】</w:t>
      </w:r>
    </w:p>
    <w:p w14:paraId="3BD9FD11">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联系电话（微信号）：【               】</w:t>
      </w:r>
    </w:p>
    <w:p w14:paraId="5C00344A">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邮箱地址：【                         】</w:t>
      </w:r>
    </w:p>
    <w:p w14:paraId="2E5F4DAC">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送达</w:t>
      </w:r>
      <w:r>
        <w:rPr>
          <w:rFonts w:ascii="Times New Roman" w:hAnsi="Times New Roman" w:eastAsiaTheme="minorEastAsia"/>
          <w:sz w:val="24"/>
          <w:szCs w:val="24"/>
        </w:rPr>
        <w:t>形式包括但不限于</w:t>
      </w:r>
      <w:r>
        <w:rPr>
          <w:rFonts w:hint="eastAsia" w:ascii="Times New Roman" w:hAnsi="Times New Roman" w:eastAsiaTheme="minorEastAsia"/>
          <w:sz w:val="24"/>
          <w:szCs w:val="24"/>
        </w:rPr>
        <w:t>邮件、</w:t>
      </w:r>
      <w:r>
        <w:rPr>
          <w:rFonts w:ascii="Times New Roman" w:hAnsi="Times New Roman" w:eastAsiaTheme="minorEastAsia"/>
          <w:sz w:val="24"/>
          <w:szCs w:val="24"/>
        </w:rPr>
        <w:t>传真、</w:t>
      </w:r>
      <w:r>
        <w:rPr>
          <w:rFonts w:hint="eastAsia" w:ascii="Times New Roman" w:hAnsi="Times New Roman" w:eastAsiaTheme="minorEastAsia"/>
          <w:sz w:val="24"/>
          <w:szCs w:val="24"/>
        </w:rPr>
        <w:t>公认的快</w:t>
      </w:r>
      <w:r>
        <w:rPr>
          <w:rFonts w:ascii="Times New Roman" w:hAnsi="Times New Roman" w:eastAsiaTheme="minorEastAsia"/>
          <w:sz w:val="24"/>
          <w:szCs w:val="24"/>
        </w:rPr>
        <w:t>递等。如果</w:t>
      </w:r>
      <w:r>
        <w:rPr>
          <w:rFonts w:hint="eastAsia" w:ascii="Times New Roman" w:hAnsi="Times New Roman" w:eastAsiaTheme="minorEastAsia"/>
          <w:sz w:val="24"/>
          <w:szCs w:val="24"/>
        </w:rPr>
        <w:t>以邮件、传真方式发送的，成功发送即视为送达；</w:t>
      </w:r>
      <w:r>
        <w:rPr>
          <w:rFonts w:ascii="Times New Roman" w:hAnsi="Times New Roman" w:eastAsiaTheme="minorEastAsia"/>
          <w:sz w:val="24"/>
          <w:szCs w:val="24"/>
        </w:rPr>
        <w:t>以快递的方式发出，自发出之日起第三日视为送达</w:t>
      </w:r>
      <w:r>
        <w:rPr>
          <w:rFonts w:hint="eastAsia" w:ascii="Times New Roman" w:hAnsi="Times New Roman" w:eastAsiaTheme="minorEastAsia"/>
          <w:sz w:val="24"/>
          <w:szCs w:val="24"/>
        </w:rPr>
        <w:t>。</w:t>
      </w:r>
      <w:r>
        <w:rPr>
          <w:rFonts w:ascii="Times New Roman" w:hAnsi="Times New Roman" w:eastAsiaTheme="minorEastAsia"/>
          <w:sz w:val="24"/>
        </w:rPr>
        <w:t>若联系人</w:t>
      </w:r>
      <w:r>
        <w:rPr>
          <w:rFonts w:hint="eastAsia" w:ascii="Times New Roman" w:hAnsi="Times New Roman" w:eastAsiaTheme="minorEastAsia"/>
          <w:sz w:val="24"/>
        </w:rPr>
        <w:t>或联系地址等信息</w:t>
      </w:r>
      <w:r>
        <w:rPr>
          <w:rFonts w:ascii="Times New Roman" w:hAnsi="Times New Roman" w:eastAsiaTheme="minorEastAsia"/>
          <w:sz w:val="24"/>
        </w:rPr>
        <w:t>变更，双方均需提前一周</w:t>
      </w:r>
      <w:r>
        <w:rPr>
          <w:rFonts w:hint="eastAsia" w:ascii="Times New Roman" w:hAnsi="Times New Roman" w:eastAsiaTheme="minorEastAsia"/>
          <w:sz w:val="24"/>
        </w:rPr>
        <w:t>书面通</w:t>
      </w:r>
      <w:r>
        <w:rPr>
          <w:rFonts w:ascii="Times New Roman" w:hAnsi="Times New Roman" w:eastAsiaTheme="minorEastAsia"/>
          <w:sz w:val="24"/>
        </w:rPr>
        <w:t>知对方并得到对方确认</w:t>
      </w:r>
      <w:r>
        <w:rPr>
          <w:rFonts w:hint="eastAsia" w:ascii="Times New Roman" w:hAnsi="Times New Roman" w:eastAsiaTheme="minorEastAsia"/>
          <w:sz w:val="24"/>
        </w:rPr>
        <w:t>。</w:t>
      </w:r>
      <w:r>
        <w:rPr>
          <w:rFonts w:ascii="Times New Roman" w:hAnsi="Times New Roman" w:eastAsiaTheme="minorEastAsia"/>
          <w:sz w:val="24"/>
          <w:szCs w:val="24"/>
        </w:rPr>
        <w:t>如任何一方联系方式或通讯地址有误或</w:t>
      </w:r>
      <w:r>
        <w:rPr>
          <w:rFonts w:hint="eastAsia" w:ascii="Times New Roman" w:hAnsi="Times New Roman" w:eastAsiaTheme="minorEastAsia"/>
          <w:sz w:val="24"/>
          <w:szCs w:val="24"/>
        </w:rPr>
        <w:t>擅自</w:t>
      </w:r>
      <w:r>
        <w:rPr>
          <w:rFonts w:ascii="Times New Roman" w:hAnsi="Times New Roman" w:eastAsiaTheme="minorEastAsia"/>
          <w:sz w:val="24"/>
          <w:szCs w:val="24"/>
        </w:rPr>
        <w:t>变更而导致另一方</w:t>
      </w:r>
      <w:r>
        <w:rPr>
          <w:rFonts w:hint="eastAsia" w:ascii="Times New Roman" w:hAnsi="Times New Roman" w:eastAsiaTheme="minorEastAsia"/>
          <w:sz w:val="24"/>
          <w:szCs w:val="24"/>
        </w:rPr>
        <w:t>通知或文件无法送达</w:t>
      </w:r>
      <w:r>
        <w:rPr>
          <w:rFonts w:ascii="Times New Roman" w:hAnsi="Times New Roman" w:eastAsiaTheme="minorEastAsia"/>
          <w:sz w:val="24"/>
          <w:szCs w:val="24"/>
        </w:rPr>
        <w:t>的，由此造成的损失由过错方</w:t>
      </w:r>
      <w:r>
        <w:rPr>
          <w:rFonts w:hint="eastAsia" w:ascii="Times New Roman" w:hAnsi="Times New Roman" w:eastAsiaTheme="minorEastAsia"/>
          <w:sz w:val="24"/>
          <w:szCs w:val="24"/>
        </w:rPr>
        <w:t>承担</w:t>
      </w:r>
      <w:r>
        <w:rPr>
          <w:rFonts w:ascii="Times New Roman" w:hAnsi="Times New Roman" w:eastAsiaTheme="minorEastAsia"/>
          <w:sz w:val="24"/>
          <w:szCs w:val="24"/>
        </w:rPr>
        <w:t>。</w:t>
      </w:r>
    </w:p>
    <w:p w14:paraId="5B86B52E">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本合同未尽事宜，双方应签订书面补充协议。补充协议与本合同具有同等法律效力，补充协议未约定的，以本合同相关约定为准；补充协议与本合同约定不一致的，以补充协议相关约定为准。</w:t>
      </w:r>
    </w:p>
    <w:p w14:paraId="110838E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w:t>
      </w:r>
      <w:r>
        <w:rPr>
          <w:rFonts w:hint="eastAsia" w:ascii="Times New Roman" w:hAnsi="Times New Roman" w:eastAsiaTheme="minorEastAsia"/>
          <w:sz w:val="24"/>
          <w:szCs w:val="24"/>
          <w:lang w:val="en-US" w:eastAsia="zh-CN"/>
        </w:rPr>
        <w:t xml:space="preserve">3 </w:t>
      </w:r>
      <w:r>
        <w:rPr>
          <w:rFonts w:ascii="Times New Roman" w:hAnsi="Times New Roman" w:eastAsiaTheme="minorEastAsia"/>
          <w:sz w:val="24"/>
          <w:szCs w:val="24"/>
        </w:rPr>
        <w:t>本合同附件为本合同的组成部分，与本合同具有同等法律效力。甲乙双方经协商一致，可根据实际情况对本合同附件内容单独进行变更。</w:t>
      </w:r>
    </w:p>
    <w:p w14:paraId="2480CFA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w:t>
      </w:r>
      <w:r>
        <w:rPr>
          <w:rFonts w:hint="eastAsia" w:ascii="Times New Roman" w:hAnsi="Times New Roman" w:eastAsiaTheme="minorEastAsia"/>
          <w:sz w:val="24"/>
          <w:szCs w:val="24"/>
          <w:lang w:val="en-US" w:eastAsia="zh-CN"/>
        </w:rPr>
        <w:t xml:space="preserve">4 </w:t>
      </w:r>
      <w:r>
        <w:rPr>
          <w:rFonts w:ascii="Times New Roman" w:hAnsi="Times New Roman" w:eastAsiaTheme="minorEastAsia"/>
          <w:sz w:val="24"/>
          <w:szCs w:val="24"/>
        </w:rPr>
        <w:t>本合同一式</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份，甲乙双方各执</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份，自双方法定代表人或授权代表签字并加盖公章之日起生效，每份具有同等法律效力。</w:t>
      </w:r>
    </w:p>
    <w:p w14:paraId="07E7BB1C">
      <w:pPr>
        <w:spacing w:before="156" w:beforeLines="50" w:after="156" w:afterLines="50" w:line="360" w:lineRule="auto"/>
        <w:rPr>
          <w:rFonts w:ascii="Times New Roman" w:hAnsi="Times New Roman" w:eastAsiaTheme="minorEastAsia"/>
          <w:b/>
          <w:bCs/>
          <w:sz w:val="24"/>
          <w:szCs w:val="24"/>
        </w:rPr>
      </w:pPr>
      <w:bookmarkStart w:id="9" w:name="_Toc392595803"/>
      <w:r>
        <w:rPr>
          <w:rFonts w:hint="eastAsia" w:ascii="Times New Roman" w:hAnsi="Times New Roman" w:eastAsiaTheme="minorEastAsia"/>
          <w:b/>
          <w:bCs/>
          <w:sz w:val="24"/>
          <w:szCs w:val="24"/>
          <w:lang w:eastAsia="zh-CN"/>
        </w:rPr>
        <w:t>第十三条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附件</w:t>
      </w:r>
      <w:bookmarkEnd w:id="9"/>
    </w:p>
    <w:p w14:paraId="10E69A48">
      <w:pPr>
        <w:pStyle w:val="18"/>
        <w:numPr>
          <w:ilvl w:val="0"/>
          <w:numId w:val="4"/>
        </w:numPr>
        <w:spacing w:before="156" w:beforeLines="50" w:after="156" w:afterLines="50" w:line="360" w:lineRule="auto"/>
        <w:ind w:firstLineChars="0"/>
        <w:rPr>
          <w:rFonts w:ascii="Times New Roman" w:hAnsi="Times New Roman"/>
          <w:b/>
          <w:vanish/>
          <w:sz w:val="24"/>
        </w:rPr>
      </w:pPr>
    </w:p>
    <w:p w14:paraId="3B93394D">
      <w:pPr>
        <w:pStyle w:val="18"/>
        <w:numPr>
          <w:ilvl w:val="0"/>
          <w:numId w:val="4"/>
        </w:numPr>
        <w:spacing w:before="156" w:beforeLines="50" w:after="156" w:afterLines="50" w:line="360" w:lineRule="auto"/>
        <w:ind w:firstLineChars="0"/>
        <w:rPr>
          <w:rFonts w:ascii="Times New Roman" w:hAnsi="Times New Roman"/>
          <w:b/>
          <w:vanish/>
          <w:sz w:val="24"/>
        </w:rPr>
      </w:pPr>
    </w:p>
    <w:p w14:paraId="32B421B0">
      <w:pPr>
        <w:pStyle w:val="18"/>
        <w:numPr>
          <w:ilvl w:val="0"/>
          <w:numId w:val="4"/>
        </w:numPr>
        <w:spacing w:before="156" w:beforeLines="50" w:after="156" w:afterLines="50" w:line="360" w:lineRule="auto"/>
        <w:ind w:firstLineChars="0"/>
        <w:rPr>
          <w:rFonts w:ascii="Times New Roman" w:hAnsi="Times New Roman"/>
          <w:b/>
          <w:vanish/>
          <w:sz w:val="24"/>
        </w:rPr>
      </w:pPr>
    </w:p>
    <w:p w14:paraId="1FBA67F0">
      <w:pPr>
        <w:pStyle w:val="18"/>
        <w:numPr>
          <w:ilvl w:val="0"/>
          <w:numId w:val="4"/>
        </w:numPr>
        <w:spacing w:before="156" w:beforeLines="50" w:after="156" w:afterLines="50" w:line="360" w:lineRule="auto"/>
        <w:ind w:firstLineChars="0"/>
        <w:rPr>
          <w:rFonts w:ascii="Times New Roman" w:hAnsi="Times New Roman"/>
          <w:b/>
          <w:vanish/>
          <w:sz w:val="24"/>
        </w:rPr>
      </w:pPr>
    </w:p>
    <w:p w14:paraId="386CE292">
      <w:pPr>
        <w:pStyle w:val="18"/>
        <w:numPr>
          <w:ilvl w:val="0"/>
          <w:numId w:val="4"/>
        </w:numPr>
        <w:spacing w:before="156" w:beforeLines="50" w:after="156" w:afterLines="50" w:line="360" w:lineRule="auto"/>
        <w:ind w:firstLineChars="0"/>
        <w:rPr>
          <w:rFonts w:ascii="Times New Roman" w:hAnsi="Times New Roman"/>
          <w:b/>
          <w:vanish/>
          <w:sz w:val="24"/>
        </w:rPr>
      </w:pPr>
    </w:p>
    <w:p w14:paraId="3F948870">
      <w:pPr>
        <w:pStyle w:val="18"/>
        <w:numPr>
          <w:ilvl w:val="0"/>
          <w:numId w:val="4"/>
        </w:numPr>
        <w:spacing w:before="156" w:beforeLines="50" w:after="156" w:afterLines="50" w:line="360" w:lineRule="auto"/>
        <w:ind w:firstLineChars="0"/>
        <w:rPr>
          <w:rFonts w:ascii="Times New Roman" w:hAnsi="Times New Roman"/>
          <w:b/>
          <w:vanish/>
          <w:sz w:val="24"/>
        </w:rPr>
      </w:pPr>
    </w:p>
    <w:p w14:paraId="4320A0BD">
      <w:pPr>
        <w:pStyle w:val="18"/>
        <w:numPr>
          <w:ilvl w:val="0"/>
          <w:numId w:val="4"/>
        </w:numPr>
        <w:spacing w:before="156" w:beforeLines="50" w:after="156" w:afterLines="50" w:line="360" w:lineRule="auto"/>
        <w:ind w:firstLineChars="0"/>
        <w:rPr>
          <w:rFonts w:ascii="Times New Roman" w:hAnsi="Times New Roman"/>
          <w:b/>
          <w:vanish/>
          <w:sz w:val="24"/>
        </w:rPr>
      </w:pPr>
    </w:p>
    <w:p w14:paraId="2CA069E5">
      <w:pPr>
        <w:pStyle w:val="18"/>
        <w:numPr>
          <w:ilvl w:val="0"/>
          <w:numId w:val="4"/>
        </w:numPr>
        <w:spacing w:before="156" w:beforeLines="50" w:after="156" w:afterLines="50" w:line="360" w:lineRule="auto"/>
        <w:ind w:firstLineChars="0"/>
        <w:rPr>
          <w:rFonts w:ascii="Times New Roman" w:hAnsi="Times New Roman"/>
          <w:b/>
          <w:vanish/>
          <w:sz w:val="24"/>
        </w:rPr>
      </w:pPr>
    </w:p>
    <w:p w14:paraId="5961BDEC">
      <w:pPr>
        <w:pStyle w:val="18"/>
        <w:numPr>
          <w:ilvl w:val="0"/>
          <w:numId w:val="4"/>
        </w:numPr>
        <w:spacing w:before="156" w:beforeLines="50" w:after="156" w:afterLines="50" w:line="360" w:lineRule="auto"/>
        <w:ind w:firstLineChars="0"/>
        <w:rPr>
          <w:rFonts w:ascii="Times New Roman" w:hAnsi="Times New Roman"/>
          <w:b/>
          <w:vanish/>
          <w:sz w:val="24"/>
        </w:rPr>
      </w:pPr>
    </w:p>
    <w:p w14:paraId="5EB4BDBF">
      <w:pPr>
        <w:pStyle w:val="18"/>
        <w:numPr>
          <w:ilvl w:val="0"/>
          <w:numId w:val="4"/>
        </w:numPr>
        <w:spacing w:before="156" w:beforeLines="50" w:after="156" w:afterLines="50" w:line="360" w:lineRule="auto"/>
        <w:ind w:firstLineChars="0"/>
        <w:rPr>
          <w:rFonts w:ascii="Times New Roman" w:hAnsi="Times New Roman"/>
          <w:b/>
          <w:vanish/>
          <w:sz w:val="24"/>
        </w:rPr>
      </w:pPr>
    </w:p>
    <w:p w14:paraId="1E8B8238">
      <w:pPr>
        <w:pStyle w:val="18"/>
        <w:numPr>
          <w:ilvl w:val="0"/>
          <w:numId w:val="4"/>
        </w:numPr>
        <w:spacing w:before="156" w:beforeLines="50" w:after="156" w:afterLines="50" w:line="360" w:lineRule="auto"/>
        <w:ind w:firstLineChars="0"/>
        <w:rPr>
          <w:rFonts w:ascii="Times New Roman" w:hAnsi="Times New Roman"/>
          <w:b/>
          <w:vanish/>
          <w:sz w:val="24"/>
        </w:rPr>
      </w:pPr>
    </w:p>
    <w:p w14:paraId="3D924D8C">
      <w:pPr>
        <w:pStyle w:val="18"/>
        <w:numPr>
          <w:ilvl w:val="0"/>
          <w:numId w:val="4"/>
        </w:numPr>
        <w:spacing w:before="156" w:beforeLines="50" w:after="156" w:afterLines="50" w:line="360" w:lineRule="auto"/>
        <w:ind w:firstLineChars="0"/>
        <w:rPr>
          <w:rFonts w:ascii="Times New Roman" w:hAnsi="Times New Roman"/>
          <w:b/>
          <w:vanish/>
          <w:sz w:val="24"/>
        </w:rPr>
      </w:pPr>
    </w:p>
    <w:p w14:paraId="28E8E3A5">
      <w:pPr>
        <w:pStyle w:val="18"/>
        <w:numPr>
          <w:ilvl w:val="0"/>
          <w:numId w:val="4"/>
        </w:numPr>
        <w:spacing w:before="156" w:beforeLines="50" w:after="156" w:afterLines="50" w:line="360" w:lineRule="auto"/>
        <w:ind w:firstLineChars="0"/>
        <w:rPr>
          <w:rFonts w:ascii="Times New Roman" w:hAnsi="Times New Roman"/>
          <w:b/>
          <w:vanish/>
          <w:sz w:val="24"/>
        </w:rPr>
      </w:pPr>
    </w:p>
    <w:p w14:paraId="35F9321B">
      <w:pPr>
        <w:pStyle w:val="18"/>
        <w:numPr>
          <w:ilvl w:val="0"/>
          <w:numId w:val="4"/>
        </w:numPr>
        <w:spacing w:before="156" w:beforeLines="50" w:after="156" w:afterLines="50" w:line="360" w:lineRule="auto"/>
        <w:ind w:firstLineChars="0"/>
        <w:rPr>
          <w:rFonts w:ascii="Times New Roman" w:hAnsi="Times New Roman"/>
          <w:b/>
          <w:vanish/>
          <w:sz w:val="24"/>
        </w:rPr>
      </w:pPr>
    </w:p>
    <w:p w14:paraId="7787C25E">
      <w:pPr>
        <w:pStyle w:val="18"/>
        <w:numPr>
          <w:ilvl w:val="0"/>
          <w:numId w:val="4"/>
        </w:numPr>
        <w:spacing w:before="156" w:beforeLines="50" w:after="156" w:afterLines="50" w:line="360" w:lineRule="auto"/>
        <w:ind w:firstLineChars="0"/>
        <w:rPr>
          <w:rFonts w:ascii="Times New Roman" w:hAnsi="Times New Roman"/>
          <w:b/>
          <w:vanish/>
          <w:sz w:val="24"/>
        </w:rPr>
      </w:pPr>
    </w:p>
    <w:p w14:paraId="57C6D725">
      <w:pPr>
        <w:pStyle w:val="18"/>
        <w:numPr>
          <w:ilvl w:val="1"/>
          <w:numId w:val="4"/>
        </w:numPr>
        <w:spacing w:before="156" w:beforeLines="50" w:after="156" w:afterLines="50" w:line="360" w:lineRule="auto"/>
        <w:ind w:firstLineChars="0"/>
        <w:rPr>
          <w:rFonts w:ascii="Times New Roman" w:hAnsi="Times New Roman"/>
          <w:b/>
          <w:vanish/>
          <w:sz w:val="24"/>
        </w:rPr>
      </w:pPr>
    </w:p>
    <w:p w14:paraId="7173471D">
      <w:pPr>
        <w:pStyle w:val="18"/>
        <w:numPr>
          <w:ilvl w:val="1"/>
          <w:numId w:val="4"/>
        </w:numPr>
        <w:spacing w:before="156" w:beforeLines="50" w:after="156" w:afterLines="50" w:line="360" w:lineRule="auto"/>
        <w:ind w:firstLineChars="0"/>
        <w:rPr>
          <w:rFonts w:ascii="Times New Roman" w:hAnsi="Times New Roman"/>
          <w:b/>
          <w:vanish/>
          <w:sz w:val="24"/>
        </w:rPr>
      </w:pPr>
    </w:p>
    <w:p w14:paraId="1D459E09">
      <w:pPr>
        <w:pStyle w:val="18"/>
        <w:numPr>
          <w:ilvl w:val="1"/>
          <w:numId w:val="4"/>
        </w:numPr>
        <w:spacing w:before="156" w:beforeLines="50" w:after="156" w:afterLines="50" w:line="360" w:lineRule="auto"/>
        <w:ind w:firstLineChars="0"/>
        <w:rPr>
          <w:rFonts w:ascii="Times New Roman" w:hAnsi="Times New Roman"/>
          <w:b/>
          <w:vanish/>
          <w:sz w:val="24"/>
        </w:rPr>
      </w:pPr>
    </w:p>
    <w:p w14:paraId="457BE6E7">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附件一：《服务价格表》</w:t>
      </w:r>
    </w:p>
    <w:p w14:paraId="50319A17">
      <w:pPr>
        <w:spacing w:before="156" w:beforeLines="50" w:after="156" w:afterLines="50" w:line="360" w:lineRule="auto"/>
        <w:ind w:firstLine="0" w:firstLineChars="0"/>
        <w:rPr>
          <w:rFonts w:ascii="Times New Roman" w:hAnsi="Times New Roman" w:eastAsiaTheme="minorEastAsia"/>
          <w:sz w:val="24"/>
          <w:szCs w:val="24"/>
        </w:rPr>
      </w:pPr>
      <w:r>
        <w:rPr>
          <w:rFonts w:hint="eastAsia" w:ascii="Times New Roman" w:hAnsi="Times New Roman" w:eastAsiaTheme="minorEastAsia"/>
          <w:sz w:val="24"/>
          <w:szCs w:val="24"/>
        </w:rPr>
        <w:t>附件二：《货物运输单》</w:t>
      </w:r>
    </w:p>
    <w:p w14:paraId="02DB2DA3">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附件</w:t>
      </w:r>
      <w:r>
        <w:rPr>
          <w:rFonts w:hint="eastAsia" w:ascii="Times New Roman" w:hAnsi="Times New Roman" w:eastAsiaTheme="minorEastAsia"/>
          <w:sz w:val="24"/>
          <w:szCs w:val="24"/>
        </w:rPr>
        <w:t>三</w:t>
      </w:r>
      <w:r>
        <w:rPr>
          <w:rFonts w:ascii="Times New Roman" w:hAnsi="Times New Roman" w:eastAsiaTheme="minorEastAsia"/>
          <w:sz w:val="24"/>
          <w:szCs w:val="24"/>
        </w:rPr>
        <w:t>：甲方营业执照副本复印件</w:t>
      </w:r>
    </w:p>
    <w:p w14:paraId="4B61C8DA">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eastAsiaTheme="minorEastAsia"/>
          <w:sz w:val="24"/>
          <w:szCs w:val="24"/>
        </w:rPr>
        <w:t>（以下无正文）</w:t>
      </w:r>
    </w:p>
    <w:p w14:paraId="0234B296">
      <w:pPr>
        <w:spacing w:before="156" w:beforeLines="50" w:after="156" w:afterLines="50" w:line="360" w:lineRule="auto"/>
        <w:ind w:left="15" w:leftChars="7" w:firstLine="480" w:firstLineChars="200"/>
        <w:rPr>
          <w:rFonts w:ascii="Times New Roman" w:hAnsi="Times New Roman" w:eastAsiaTheme="minorEastAsia"/>
          <w:sz w:val="24"/>
          <w:szCs w:val="24"/>
        </w:rPr>
      </w:pPr>
    </w:p>
    <w:p w14:paraId="13D46EA7">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t>甲方（盖章）：                                    乙方（盖章）：</w:t>
      </w:r>
    </w:p>
    <w:p w14:paraId="3478963F">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t>法定代表人（授权代表）：                          法定代表人（授权代表）：</w:t>
      </w:r>
    </w:p>
    <w:p w14:paraId="5EF89429">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t>签订日期：  年  月  日                           签订日期：  年   月  日</w:t>
      </w:r>
    </w:p>
    <w:p w14:paraId="5138932A">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br w:type="page"/>
      </w:r>
    </w:p>
    <w:p w14:paraId="432AA933">
      <w:pPr>
        <w:spacing w:line="480" w:lineRule="exact"/>
        <w:rPr>
          <w:rFonts w:ascii="Times New Roman" w:hAnsi="Times New Roman"/>
          <w:b/>
          <w:sz w:val="24"/>
        </w:rPr>
      </w:pPr>
      <w:r>
        <w:rPr>
          <w:rFonts w:ascii="Times New Roman" w:hAnsi="Times New Roman"/>
          <w:b/>
          <w:sz w:val="24"/>
        </w:rPr>
        <w:t>附件一：服务价格表</w:t>
      </w:r>
    </w:p>
    <w:p w14:paraId="35DB9A01">
      <w:pPr>
        <w:spacing w:before="156" w:beforeLines="50" w:after="156" w:line="480" w:lineRule="exact"/>
        <w:jc w:val="center"/>
        <w:rPr>
          <w:rFonts w:ascii="Times New Roman" w:hAnsi="Times New Roman"/>
          <w:b/>
          <w:sz w:val="24"/>
        </w:rPr>
      </w:pPr>
      <w:r>
        <w:rPr>
          <w:rFonts w:ascii="Times New Roman" w:hAnsi="Times New Roman"/>
          <w:b/>
          <w:sz w:val="24"/>
        </w:rPr>
        <w:t>仓储价格表</w:t>
      </w:r>
    </w:p>
    <w:tbl>
      <w:tblPr>
        <w:tblStyle w:val="12"/>
        <w:tblW w:w="10485" w:type="dxa"/>
        <w:tblInd w:w="113" w:type="dxa"/>
        <w:tblLayout w:type="autofit"/>
        <w:tblCellMar>
          <w:top w:w="0" w:type="dxa"/>
          <w:left w:w="108" w:type="dxa"/>
          <w:bottom w:w="0" w:type="dxa"/>
          <w:right w:w="108" w:type="dxa"/>
        </w:tblCellMar>
      </w:tblPr>
      <w:tblGrid>
        <w:gridCol w:w="1271"/>
        <w:gridCol w:w="1389"/>
        <w:gridCol w:w="703"/>
        <w:gridCol w:w="1452"/>
        <w:gridCol w:w="5670"/>
      </w:tblGrid>
      <w:tr w14:paraId="0EEEA429">
        <w:tblPrEx>
          <w:tblCellMar>
            <w:top w:w="0" w:type="dxa"/>
            <w:left w:w="108" w:type="dxa"/>
            <w:bottom w:w="0" w:type="dxa"/>
            <w:right w:w="108" w:type="dxa"/>
          </w:tblCellMar>
        </w:tblPrEx>
        <w:trPr>
          <w:trHeight w:val="348"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6C576BF4">
            <w:pPr>
              <w:jc w:val="center"/>
              <w:rPr>
                <w:rFonts w:ascii="Times New Roman" w:hAnsi="Times New Roman"/>
                <w:b/>
                <w:kern w:val="0"/>
              </w:rPr>
            </w:pPr>
            <w:r>
              <w:rPr>
                <w:rFonts w:ascii="Times New Roman" w:hAnsi="Times New Roman"/>
                <w:b/>
                <w:kern w:val="0"/>
              </w:rPr>
              <w:t>收费项目</w:t>
            </w:r>
          </w:p>
        </w:tc>
        <w:tc>
          <w:tcPr>
            <w:tcW w:w="1389" w:type="dxa"/>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420B6B12">
            <w:pPr>
              <w:jc w:val="center"/>
              <w:rPr>
                <w:rFonts w:ascii="Times New Roman" w:hAnsi="Times New Roman"/>
                <w:b/>
                <w:kern w:val="0"/>
              </w:rPr>
            </w:pPr>
            <w:r>
              <w:rPr>
                <w:rFonts w:ascii="Times New Roman" w:hAnsi="Times New Roman"/>
                <w:b/>
                <w:kern w:val="0"/>
              </w:rPr>
              <w:t>服务项目</w:t>
            </w:r>
          </w:p>
        </w:tc>
        <w:tc>
          <w:tcPr>
            <w:tcW w:w="2155" w:type="dxa"/>
            <w:gridSpan w:val="2"/>
            <w:tcBorders>
              <w:top w:val="single" w:color="auto" w:sz="4" w:space="0"/>
              <w:left w:val="nil"/>
              <w:bottom w:val="single" w:color="auto" w:sz="4" w:space="0"/>
              <w:right w:val="single" w:color="auto" w:sz="4" w:space="0"/>
            </w:tcBorders>
            <w:shd w:val="clear" w:color="000000" w:fill="D9D9D9"/>
            <w:noWrap/>
            <w:vAlign w:val="center"/>
          </w:tcPr>
          <w:p w14:paraId="6D61BDD2">
            <w:pPr>
              <w:jc w:val="center"/>
              <w:rPr>
                <w:rFonts w:ascii="Times New Roman" w:hAnsi="Times New Roman"/>
                <w:b/>
                <w:kern w:val="0"/>
              </w:rPr>
            </w:pPr>
            <w:r>
              <w:rPr>
                <w:rFonts w:ascii="Times New Roman" w:hAnsi="Times New Roman"/>
                <w:b/>
                <w:kern w:val="0"/>
              </w:rPr>
              <w:t>计费标准</w:t>
            </w:r>
          </w:p>
        </w:tc>
        <w:tc>
          <w:tcPr>
            <w:tcW w:w="5670" w:type="dxa"/>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4A5F5270">
            <w:pPr>
              <w:jc w:val="center"/>
              <w:rPr>
                <w:rFonts w:ascii="Times New Roman" w:hAnsi="Times New Roman"/>
                <w:b/>
                <w:kern w:val="0"/>
              </w:rPr>
            </w:pPr>
            <w:r>
              <w:rPr>
                <w:rFonts w:ascii="Times New Roman" w:hAnsi="Times New Roman"/>
                <w:b/>
                <w:kern w:val="0"/>
              </w:rPr>
              <w:t>备注</w:t>
            </w:r>
          </w:p>
        </w:tc>
      </w:tr>
      <w:tr w14:paraId="5CD21DAC">
        <w:tblPrEx>
          <w:tblCellMar>
            <w:top w:w="0" w:type="dxa"/>
            <w:left w:w="108" w:type="dxa"/>
            <w:bottom w:w="0" w:type="dxa"/>
            <w:right w:w="108" w:type="dxa"/>
          </w:tblCellMar>
        </w:tblPrEx>
        <w:trPr>
          <w:trHeight w:val="416"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7E4FB726">
            <w:pPr>
              <w:rPr>
                <w:rFonts w:ascii="Times New Roman" w:hAnsi="Times New Roman"/>
                <w:b/>
                <w:kern w:val="0"/>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14:paraId="5214E8F9">
            <w:pPr>
              <w:rPr>
                <w:rFonts w:ascii="Times New Roman" w:hAnsi="Times New Roman"/>
                <w:b/>
                <w:kern w:val="0"/>
              </w:rPr>
            </w:pPr>
          </w:p>
        </w:tc>
        <w:tc>
          <w:tcPr>
            <w:tcW w:w="703" w:type="dxa"/>
            <w:tcBorders>
              <w:top w:val="nil"/>
              <w:left w:val="nil"/>
              <w:bottom w:val="single" w:color="auto" w:sz="4" w:space="0"/>
              <w:right w:val="single" w:color="auto" w:sz="4" w:space="0"/>
            </w:tcBorders>
            <w:shd w:val="clear" w:color="000000" w:fill="D9D9D9"/>
            <w:noWrap/>
            <w:vAlign w:val="center"/>
          </w:tcPr>
          <w:p w14:paraId="1FCC67A4">
            <w:pPr>
              <w:jc w:val="center"/>
              <w:rPr>
                <w:rFonts w:ascii="Times New Roman" w:hAnsi="Times New Roman"/>
                <w:b/>
                <w:kern w:val="0"/>
              </w:rPr>
            </w:pPr>
            <w:r>
              <w:rPr>
                <w:rFonts w:ascii="Times New Roman" w:hAnsi="Times New Roman"/>
                <w:b/>
                <w:kern w:val="0"/>
              </w:rPr>
              <w:t>标准</w:t>
            </w:r>
          </w:p>
        </w:tc>
        <w:tc>
          <w:tcPr>
            <w:tcW w:w="1452" w:type="dxa"/>
            <w:tcBorders>
              <w:top w:val="nil"/>
              <w:left w:val="nil"/>
              <w:bottom w:val="single" w:color="auto" w:sz="4" w:space="0"/>
              <w:right w:val="single" w:color="auto" w:sz="4" w:space="0"/>
            </w:tcBorders>
            <w:shd w:val="clear" w:color="000000" w:fill="D9D9D9"/>
            <w:noWrap/>
            <w:vAlign w:val="center"/>
          </w:tcPr>
          <w:p w14:paraId="35ACD2CB">
            <w:pPr>
              <w:jc w:val="center"/>
              <w:rPr>
                <w:rFonts w:ascii="Times New Roman" w:hAnsi="Times New Roman"/>
                <w:b/>
                <w:kern w:val="0"/>
              </w:rPr>
            </w:pPr>
            <w:r>
              <w:rPr>
                <w:rFonts w:ascii="Times New Roman" w:hAnsi="Times New Roman"/>
                <w:b/>
                <w:kern w:val="0"/>
              </w:rPr>
              <w:t>单位</w:t>
            </w:r>
          </w:p>
        </w:tc>
        <w:tc>
          <w:tcPr>
            <w:tcW w:w="5670" w:type="dxa"/>
            <w:vMerge w:val="continue"/>
            <w:tcBorders>
              <w:top w:val="single" w:color="auto" w:sz="4" w:space="0"/>
              <w:left w:val="single" w:color="auto" w:sz="4" w:space="0"/>
              <w:bottom w:val="single" w:color="auto" w:sz="4" w:space="0"/>
              <w:right w:val="single" w:color="auto" w:sz="4" w:space="0"/>
            </w:tcBorders>
            <w:vAlign w:val="center"/>
          </w:tcPr>
          <w:p w14:paraId="5F1DA707">
            <w:pPr>
              <w:rPr>
                <w:rFonts w:ascii="Times New Roman" w:hAnsi="Times New Roman"/>
                <w:b/>
                <w:kern w:val="0"/>
              </w:rPr>
            </w:pPr>
          </w:p>
        </w:tc>
      </w:tr>
      <w:tr w14:paraId="095BCE4E">
        <w:tblPrEx>
          <w:tblCellMar>
            <w:top w:w="0" w:type="dxa"/>
            <w:left w:w="108" w:type="dxa"/>
            <w:bottom w:w="0" w:type="dxa"/>
            <w:right w:w="108" w:type="dxa"/>
          </w:tblCellMar>
        </w:tblPrEx>
        <w:trPr>
          <w:trHeight w:val="478"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14:paraId="31D7A8EA">
            <w:pPr>
              <w:jc w:val="center"/>
              <w:rPr>
                <w:rFonts w:ascii="Times New Roman" w:hAnsi="Times New Roman"/>
                <w:kern w:val="0"/>
              </w:rPr>
            </w:pPr>
            <w:r>
              <w:rPr>
                <w:rFonts w:ascii="Times New Roman" w:hAnsi="Times New Roman"/>
                <w:kern w:val="0"/>
              </w:rPr>
              <w:t>仓储费</w:t>
            </w:r>
          </w:p>
        </w:tc>
        <w:tc>
          <w:tcPr>
            <w:tcW w:w="1389" w:type="dxa"/>
            <w:tcBorders>
              <w:top w:val="nil"/>
              <w:left w:val="nil"/>
              <w:bottom w:val="single" w:color="auto" w:sz="4" w:space="0"/>
              <w:right w:val="single" w:color="auto" w:sz="4" w:space="0"/>
            </w:tcBorders>
            <w:shd w:val="clear" w:color="auto" w:fill="auto"/>
            <w:noWrap/>
            <w:vAlign w:val="center"/>
          </w:tcPr>
          <w:p w14:paraId="10702C59">
            <w:pPr>
              <w:jc w:val="center"/>
              <w:rPr>
                <w:rFonts w:ascii="Times New Roman" w:hAnsi="Times New Roman"/>
                <w:kern w:val="0"/>
              </w:rPr>
            </w:pPr>
            <w:r>
              <w:rPr>
                <w:rFonts w:ascii="Times New Roman" w:hAnsi="Times New Roman"/>
                <w:kern w:val="0"/>
              </w:rPr>
              <w:t>常温库</w:t>
            </w:r>
          </w:p>
        </w:tc>
        <w:tc>
          <w:tcPr>
            <w:tcW w:w="703" w:type="dxa"/>
            <w:tcBorders>
              <w:top w:val="nil"/>
              <w:left w:val="nil"/>
              <w:bottom w:val="single" w:color="auto" w:sz="4" w:space="0"/>
              <w:right w:val="single" w:color="auto" w:sz="4" w:space="0"/>
            </w:tcBorders>
            <w:shd w:val="clear" w:color="auto" w:fill="auto"/>
            <w:noWrap/>
            <w:vAlign w:val="center"/>
          </w:tcPr>
          <w:p w14:paraId="5C9D135C">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3ECF7BAB">
            <w:pPr>
              <w:jc w:val="center"/>
              <w:rPr>
                <w:rFonts w:ascii="Times New Roman" w:hAnsi="Times New Roman"/>
                <w:kern w:val="0"/>
              </w:rPr>
            </w:pPr>
            <w:r>
              <w:rPr>
                <w:rFonts w:ascii="Times New Roman" w:hAnsi="Times New Roman"/>
                <w:kern w:val="0"/>
              </w:rPr>
              <w:t>元/托/天</w:t>
            </w:r>
          </w:p>
        </w:tc>
        <w:tc>
          <w:tcPr>
            <w:tcW w:w="5670" w:type="dxa"/>
            <w:vMerge w:val="restart"/>
            <w:tcBorders>
              <w:top w:val="nil"/>
              <w:left w:val="single" w:color="auto" w:sz="4" w:space="0"/>
              <w:bottom w:val="nil"/>
              <w:right w:val="single" w:color="auto" w:sz="4" w:space="0"/>
            </w:tcBorders>
            <w:shd w:val="clear" w:color="auto" w:fill="auto"/>
            <w:vAlign w:val="center"/>
          </w:tcPr>
          <w:p w14:paraId="2C839070">
            <w:pPr>
              <w:rPr>
                <w:rFonts w:ascii="Times New Roman" w:hAnsi="Times New Roman"/>
                <w:kern w:val="0"/>
              </w:rPr>
            </w:pPr>
            <w:r>
              <w:rPr>
                <w:rFonts w:ascii="Times New Roman" w:hAnsi="Times New Roman"/>
                <w:kern w:val="0"/>
              </w:rPr>
              <w:t>1.整托标准：长1.2*1米*高1.6，限重800公斤/托盘；                                             2.拼托标准：根据货品体积2至4个品项每托</w:t>
            </w:r>
          </w:p>
        </w:tc>
      </w:tr>
      <w:tr w14:paraId="3C5E7E78">
        <w:tblPrEx>
          <w:tblCellMar>
            <w:top w:w="0" w:type="dxa"/>
            <w:left w:w="108" w:type="dxa"/>
            <w:bottom w:w="0" w:type="dxa"/>
            <w:right w:w="108" w:type="dxa"/>
          </w:tblCellMar>
        </w:tblPrEx>
        <w:trPr>
          <w:trHeight w:val="455" w:hRule="atLeast"/>
        </w:trPr>
        <w:tc>
          <w:tcPr>
            <w:tcW w:w="1271" w:type="dxa"/>
            <w:vMerge w:val="continue"/>
            <w:tcBorders>
              <w:top w:val="nil"/>
              <w:left w:val="single" w:color="auto" w:sz="4" w:space="0"/>
              <w:bottom w:val="single" w:color="auto" w:sz="4" w:space="0"/>
              <w:right w:val="single" w:color="auto" w:sz="4" w:space="0"/>
            </w:tcBorders>
            <w:vAlign w:val="center"/>
          </w:tcPr>
          <w:p w14:paraId="2C328ABD">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6435C3B4">
            <w:pPr>
              <w:jc w:val="center"/>
              <w:rPr>
                <w:rFonts w:ascii="Times New Roman" w:hAnsi="Times New Roman"/>
                <w:kern w:val="0"/>
              </w:rPr>
            </w:pPr>
            <w:r>
              <w:rPr>
                <w:rFonts w:ascii="Times New Roman" w:hAnsi="Times New Roman"/>
                <w:kern w:val="0"/>
              </w:rPr>
              <w:t>恒温库</w:t>
            </w:r>
          </w:p>
        </w:tc>
        <w:tc>
          <w:tcPr>
            <w:tcW w:w="703" w:type="dxa"/>
            <w:tcBorders>
              <w:top w:val="nil"/>
              <w:left w:val="nil"/>
              <w:bottom w:val="single" w:color="auto" w:sz="4" w:space="0"/>
              <w:right w:val="single" w:color="auto" w:sz="4" w:space="0"/>
            </w:tcBorders>
            <w:shd w:val="clear" w:color="auto" w:fill="auto"/>
            <w:noWrap/>
            <w:vAlign w:val="center"/>
          </w:tcPr>
          <w:p w14:paraId="2E61685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335BC73">
            <w:pPr>
              <w:jc w:val="center"/>
              <w:rPr>
                <w:rFonts w:ascii="Times New Roman" w:hAnsi="Times New Roman"/>
                <w:kern w:val="0"/>
              </w:rPr>
            </w:pPr>
            <w:r>
              <w:rPr>
                <w:rFonts w:ascii="Times New Roman" w:hAnsi="Times New Roman"/>
                <w:kern w:val="0"/>
              </w:rPr>
              <w:t>元/托/天</w:t>
            </w:r>
          </w:p>
        </w:tc>
        <w:tc>
          <w:tcPr>
            <w:tcW w:w="5670" w:type="dxa"/>
            <w:vMerge w:val="continue"/>
            <w:tcBorders>
              <w:top w:val="nil"/>
              <w:left w:val="single" w:color="auto" w:sz="4" w:space="0"/>
              <w:bottom w:val="nil"/>
              <w:right w:val="single" w:color="auto" w:sz="4" w:space="0"/>
            </w:tcBorders>
            <w:vAlign w:val="center"/>
          </w:tcPr>
          <w:p w14:paraId="2E33BD05">
            <w:pPr>
              <w:rPr>
                <w:rFonts w:ascii="Times New Roman" w:hAnsi="Times New Roman"/>
                <w:kern w:val="0"/>
              </w:rPr>
            </w:pPr>
          </w:p>
        </w:tc>
      </w:tr>
      <w:tr w14:paraId="126685A2">
        <w:tblPrEx>
          <w:tblCellMar>
            <w:top w:w="0" w:type="dxa"/>
            <w:left w:w="108" w:type="dxa"/>
            <w:bottom w:w="0" w:type="dxa"/>
            <w:right w:w="108" w:type="dxa"/>
          </w:tblCellMar>
        </w:tblPrEx>
        <w:trPr>
          <w:trHeight w:val="544" w:hRule="atLeast"/>
        </w:trPr>
        <w:tc>
          <w:tcPr>
            <w:tcW w:w="1271" w:type="dxa"/>
            <w:vMerge w:val="continue"/>
            <w:tcBorders>
              <w:top w:val="nil"/>
              <w:left w:val="single" w:color="auto" w:sz="4" w:space="0"/>
              <w:bottom w:val="single" w:color="auto" w:sz="4" w:space="0"/>
              <w:right w:val="single" w:color="auto" w:sz="4" w:space="0"/>
            </w:tcBorders>
            <w:vAlign w:val="center"/>
          </w:tcPr>
          <w:p w14:paraId="469F4193">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14CF9197">
            <w:pPr>
              <w:jc w:val="center"/>
              <w:rPr>
                <w:rFonts w:ascii="Times New Roman" w:hAnsi="Times New Roman"/>
                <w:kern w:val="0"/>
              </w:rPr>
            </w:pPr>
            <w:r>
              <w:rPr>
                <w:rFonts w:ascii="Times New Roman" w:hAnsi="Times New Roman"/>
                <w:kern w:val="0"/>
              </w:rPr>
              <w:t>冷藏库</w:t>
            </w:r>
          </w:p>
        </w:tc>
        <w:tc>
          <w:tcPr>
            <w:tcW w:w="703" w:type="dxa"/>
            <w:tcBorders>
              <w:top w:val="nil"/>
              <w:left w:val="nil"/>
              <w:bottom w:val="single" w:color="auto" w:sz="4" w:space="0"/>
              <w:right w:val="single" w:color="auto" w:sz="4" w:space="0"/>
            </w:tcBorders>
            <w:shd w:val="clear" w:color="auto" w:fill="auto"/>
            <w:noWrap/>
            <w:vAlign w:val="center"/>
          </w:tcPr>
          <w:p w14:paraId="403B0AFD">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2D1D9663">
            <w:pPr>
              <w:jc w:val="center"/>
              <w:rPr>
                <w:rFonts w:ascii="Times New Roman" w:hAnsi="Times New Roman"/>
                <w:kern w:val="0"/>
              </w:rPr>
            </w:pPr>
            <w:r>
              <w:rPr>
                <w:rFonts w:ascii="Times New Roman" w:hAnsi="Times New Roman"/>
                <w:kern w:val="0"/>
              </w:rPr>
              <w:t>元/托/天</w:t>
            </w:r>
          </w:p>
        </w:tc>
        <w:tc>
          <w:tcPr>
            <w:tcW w:w="5670" w:type="dxa"/>
            <w:vMerge w:val="continue"/>
            <w:tcBorders>
              <w:top w:val="nil"/>
              <w:left w:val="single" w:color="auto" w:sz="4" w:space="0"/>
              <w:bottom w:val="nil"/>
              <w:right w:val="single" w:color="auto" w:sz="4" w:space="0"/>
            </w:tcBorders>
            <w:vAlign w:val="center"/>
          </w:tcPr>
          <w:p w14:paraId="1384F6BA">
            <w:pPr>
              <w:rPr>
                <w:rFonts w:ascii="Times New Roman" w:hAnsi="Times New Roman"/>
                <w:kern w:val="0"/>
              </w:rPr>
            </w:pPr>
          </w:p>
        </w:tc>
      </w:tr>
      <w:tr w14:paraId="64FB472B">
        <w:tblPrEx>
          <w:tblCellMar>
            <w:top w:w="0" w:type="dxa"/>
            <w:left w:w="108" w:type="dxa"/>
            <w:bottom w:w="0" w:type="dxa"/>
            <w:right w:w="108" w:type="dxa"/>
          </w:tblCellMar>
        </w:tblPrEx>
        <w:trPr>
          <w:trHeight w:val="507" w:hRule="atLeast"/>
        </w:trPr>
        <w:tc>
          <w:tcPr>
            <w:tcW w:w="1271" w:type="dxa"/>
            <w:vMerge w:val="continue"/>
            <w:tcBorders>
              <w:top w:val="nil"/>
              <w:left w:val="single" w:color="auto" w:sz="4" w:space="0"/>
              <w:bottom w:val="single" w:color="auto" w:sz="4" w:space="0"/>
              <w:right w:val="single" w:color="auto" w:sz="4" w:space="0"/>
            </w:tcBorders>
            <w:vAlign w:val="center"/>
          </w:tcPr>
          <w:p w14:paraId="1EF94BCC">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7E2F2F7B">
            <w:pPr>
              <w:jc w:val="center"/>
              <w:rPr>
                <w:rFonts w:ascii="Times New Roman" w:hAnsi="Times New Roman"/>
                <w:kern w:val="0"/>
              </w:rPr>
            </w:pPr>
            <w:r>
              <w:rPr>
                <w:rFonts w:ascii="Times New Roman" w:hAnsi="Times New Roman"/>
                <w:kern w:val="0"/>
              </w:rPr>
              <w:t>冷冻库</w:t>
            </w:r>
          </w:p>
        </w:tc>
        <w:tc>
          <w:tcPr>
            <w:tcW w:w="703" w:type="dxa"/>
            <w:tcBorders>
              <w:top w:val="nil"/>
              <w:left w:val="nil"/>
              <w:bottom w:val="single" w:color="auto" w:sz="4" w:space="0"/>
              <w:right w:val="single" w:color="auto" w:sz="4" w:space="0"/>
            </w:tcBorders>
            <w:shd w:val="clear" w:color="auto" w:fill="auto"/>
            <w:noWrap/>
            <w:vAlign w:val="center"/>
          </w:tcPr>
          <w:p w14:paraId="346CFA71">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BCF4EF2">
            <w:pPr>
              <w:jc w:val="center"/>
              <w:rPr>
                <w:rFonts w:ascii="Times New Roman" w:hAnsi="Times New Roman"/>
                <w:kern w:val="0"/>
              </w:rPr>
            </w:pPr>
            <w:r>
              <w:rPr>
                <w:rFonts w:ascii="Times New Roman" w:hAnsi="Times New Roman"/>
                <w:kern w:val="0"/>
              </w:rPr>
              <w:t>元/托/天</w:t>
            </w:r>
          </w:p>
        </w:tc>
        <w:tc>
          <w:tcPr>
            <w:tcW w:w="5670" w:type="dxa"/>
            <w:vMerge w:val="continue"/>
            <w:tcBorders>
              <w:top w:val="nil"/>
              <w:left w:val="single" w:color="auto" w:sz="4" w:space="0"/>
              <w:bottom w:val="nil"/>
              <w:right w:val="single" w:color="auto" w:sz="4" w:space="0"/>
            </w:tcBorders>
            <w:vAlign w:val="center"/>
          </w:tcPr>
          <w:p w14:paraId="157A1421">
            <w:pPr>
              <w:rPr>
                <w:rFonts w:ascii="Times New Roman" w:hAnsi="Times New Roman"/>
                <w:kern w:val="0"/>
              </w:rPr>
            </w:pPr>
          </w:p>
        </w:tc>
      </w:tr>
      <w:tr w14:paraId="63865038">
        <w:tblPrEx>
          <w:tblCellMar>
            <w:top w:w="0" w:type="dxa"/>
            <w:left w:w="108" w:type="dxa"/>
            <w:bottom w:w="0" w:type="dxa"/>
            <w:right w:w="108" w:type="dxa"/>
          </w:tblCellMar>
        </w:tblPrEx>
        <w:trPr>
          <w:trHeight w:val="468" w:hRule="atLeast"/>
        </w:trPr>
        <w:tc>
          <w:tcPr>
            <w:tcW w:w="1271" w:type="dxa"/>
            <w:vMerge w:val="restart"/>
            <w:tcBorders>
              <w:top w:val="nil"/>
              <w:left w:val="single" w:color="auto" w:sz="4" w:space="0"/>
              <w:bottom w:val="nil"/>
              <w:right w:val="single" w:color="auto" w:sz="4" w:space="0"/>
            </w:tcBorders>
            <w:shd w:val="clear" w:color="auto" w:fill="auto"/>
            <w:noWrap/>
            <w:vAlign w:val="center"/>
          </w:tcPr>
          <w:p w14:paraId="72AB3D44">
            <w:pPr>
              <w:jc w:val="center"/>
              <w:rPr>
                <w:rFonts w:ascii="Times New Roman" w:hAnsi="Times New Roman"/>
                <w:kern w:val="0"/>
              </w:rPr>
            </w:pPr>
            <w:r>
              <w:rPr>
                <w:rFonts w:ascii="Times New Roman" w:hAnsi="Times New Roman"/>
                <w:kern w:val="0"/>
              </w:rPr>
              <w:t>进仓费</w:t>
            </w:r>
          </w:p>
        </w:tc>
        <w:tc>
          <w:tcPr>
            <w:tcW w:w="1389" w:type="dxa"/>
            <w:tcBorders>
              <w:top w:val="nil"/>
              <w:left w:val="nil"/>
              <w:bottom w:val="single" w:color="auto" w:sz="4" w:space="0"/>
              <w:right w:val="single" w:color="auto" w:sz="4" w:space="0"/>
            </w:tcBorders>
            <w:shd w:val="clear" w:color="auto" w:fill="auto"/>
            <w:noWrap/>
            <w:vAlign w:val="center"/>
          </w:tcPr>
          <w:p w14:paraId="7026B620">
            <w:pPr>
              <w:jc w:val="center"/>
              <w:rPr>
                <w:rFonts w:ascii="Times New Roman" w:hAnsi="Times New Roman"/>
                <w:kern w:val="0"/>
              </w:rPr>
            </w:pPr>
            <w:r>
              <w:rPr>
                <w:rFonts w:ascii="Times New Roman" w:hAnsi="Times New Roman"/>
                <w:kern w:val="0"/>
              </w:rPr>
              <w:t>常温&amp;恒温</w:t>
            </w:r>
          </w:p>
        </w:tc>
        <w:tc>
          <w:tcPr>
            <w:tcW w:w="703" w:type="dxa"/>
            <w:tcBorders>
              <w:top w:val="nil"/>
              <w:left w:val="nil"/>
              <w:bottom w:val="single" w:color="auto" w:sz="4" w:space="0"/>
              <w:right w:val="single" w:color="auto" w:sz="4" w:space="0"/>
            </w:tcBorders>
            <w:shd w:val="clear" w:color="auto" w:fill="auto"/>
            <w:noWrap/>
            <w:vAlign w:val="center"/>
          </w:tcPr>
          <w:p w14:paraId="47F27F19">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6923306">
            <w:pPr>
              <w:jc w:val="center"/>
              <w:rPr>
                <w:rFonts w:ascii="Times New Roman" w:hAnsi="Times New Roman"/>
                <w:kern w:val="0"/>
              </w:rPr>
            </w:pPr>
            <w:r>
              <w:rPr>
                <w:rFonts w:ascii="Times New Roman" w:hAnsi="Times New Roman"/>
                <w:kern w:val="0"/>
              </w:rPr>
              <w:t>元/吨</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FB61B5">
            <w:pPr>
              <w:rPr>
                <w:rFonts w:ascii="Times New Roman" w:hAnsi="Times New Roman"/>
                <w:kern w:val="0"/>
              </w:rPr>
            </w:pPr>
            <w:r>
              <w:rPr>
                <w:rFonts w:ascii="Times New Roman" w:hAnsi="Times New Roman"/>
                <w:kern w:val="0"/>
              </w:rPr>
              <w:t xml:space="preserve">1.进出仓费用在进仓当月结算，一次性收取，                                                   2.重泡换算比例：1吨=3个立方米                                                   </w:t>
            </w:r>
          </w:p>
        </w:tc>
      </w:tr>
      <w:tr w14:paraId="34C09B46">
        <w:tblPrEx>
          <w:tblCellMar>
            <w:top w:w="0" w:type="dxa"/>
            <w:left w:w="108" w:type="dxa"/>
            <w:bottom w:w="0" w:type="dxa"/>
            <w:right w:w="108" w:type="dxa"/>
          </w:tblCellMar>
        </w:tblPrEx>
        <w:trPr>
          <w:trHeight w:val="431" w:hRule="atLeast"/>
        </w:trPr>
        <w:tc>
          <w:tcPr>
            <w:tcW w:w="1271" w:type="dxa"/>
            <w:vMerge w:val="continue"/>
            <w:tcBorders>
              <w:top w:val="nil"/>
              <w:left w:val="single" w:color="auto" w:sz="4" w:space="0"/>
              <w:bottom w:val="nil"/>
              <w:right w:val="single" w:color="auto" w:sz="4" w:space="0"/>
            </w:tcBorders>
            <w:vAlign w:val="center"/>
          </w:tcPr>
          <w:p w14:paraId="797F4D80">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0C530421">
            <w:pPr>
              <w:jc w:val="center"/>
              <w:rPr>
                <w:rFonts w:ascii="Times New Roman" w:hAnsi="Times New Roman"/>
                <w:kern w:val="0"/>
              </w:rPr>
            </w:pPr>
            <w:r>
              <w:rPr>
                <w:rFonts w:ascii="Times New Roman" w:hAnsi="Times New Roman"/>
                <w:kern w:val="0"/>
              </w:rPr>
              <w:t>冷藏&amp;冷冻</w:t>
            </w:r>
          </w:p>
        </w:tc>
        <w:tc>
          <w:tcPr>
            <w:tcW w:w="703" w:type="dxa"/>
            <w:tcBorders>
              <w:top w:val="nil"/>
              <w:left w:val="nil"/>
              <w:bottom w:val="single" w:color="auto" w:sz="4" w:space="0"/>
              <w:right w:val="single" w:color="auto" w:sz="4" w:space="0"/>
            </w:tcBorders>
            <w:shd w:val="clear" w:color="auto" w:fill="auto"/>
            <w:noWrap/>
            <w:vAlign w:val="center"/>
          </w:tcPr>
          <w:p w14:paraId="576E171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EF2B46A">
            <w:pPr>
              <w:jc w:val="center"/>
              <w:rPr>
                <w:rFonts w:ascii="Times New Roman" w:hAnsi="Times New Roman"/>
                <w:kern w:val="0"/>
              </w:rPr>
            </w:pPr>
            <w:r>
              <w:rPr>
                <w:rFonts w:ascii="Times New Roman" w:hAnsi="Times New Roman"/>
                <w:kern w:val="0"/>
              </w:rPr>
              <w:t>元/吨</w:t>
            </w:r>
          </w:p>
        </w:tc>
        <w:tc>
          <w:tcPr>
            <w:tcW w:w="5670" w:type="dxa"/>
            <w:vMerge w:val="continue"/>
            <w:tcBorders>
              <w:top w:val="single" w:color="auto" w:sz="4" w:space="0"/>
              <w:left w:val="single" w:color="auto" w:sz="4" w:space="0"/>
              <w:bottom w:val="single" w:color="auto" w:sz="4" w:space="0"/>
              <w:right w:val="single" w:color="auto" w:sz="4" w:space="0"/>
            </w:tcBorders>
            <w:vAlign w:val="center"/>
          </w:tcPr>
          <w:p w14:paraId="3423629E">
            <w:pPr>
              <w:rPr>
                <w:rFonts w:ascii="Times New Roman" w:hAnsi="Times New Roman"/>
                <w:kern w:val="0"/>
              </w:rPr>
            </w:pPr>
          </w:p>
        </w:tc>
      </w:tr>
      <w:tr w14:paraId="3E47A128">
        <w:tblPrEx>
          <w:tblCellMar>
            <w:top w:w="0" w:type="dxa"/>
            <w:left w:w="108" w:type="dxa"/>
            <w:bottom w:w="0" w:type="dxa"/>
            <w:right w:w="108" w:type="dxa"/>
          </w:tblCellMar>
        </w:tblPrEx>
        <w:trPr>
          <w:trHeight w:val="393"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904A20">
            <w:pPr>
              <w:jc w:val="center"/>
              <w:rPr>
                <w:rFonts w:ascii="Times New Roman" w:hAnsi="Times New Roman"/>
                <w:kern w:val="0"/>
              </w:rPr>
            </w:pPr>
            <w:r>
              <w:rPr>
                <w:rFonts w:ascii="Times New Roman" w:hAnsi="Times New Roman"/>
                <w:kern w:val="0"/>
              </w:rPr>
              <w:t>操作费</w:t>
            </w:r>
          </w:p>
        </w:tc>
        <w:tc>
          <w:tcPr>
            <w:tcW w:w="1389" w:type="dxa"/>
            <w:tcBorders>
              <w:top w:val="nil"/>
              <w:left w:val="nil"/>
              <w:bottom w:val="single" w:color="auto" w:sz="4" w:space="0"/>
              <w:right w:val="single" w:color="auto" w:sz="4" w:space="0"/>
            </w:tcBorders>
            <w:shd w:val="clear" w:color="auto" w:fill="auto"/>
            <w:noWrap/>
            <w:vAlign w:val="center"/>
          </w:tcPr>
          <w:p w14:paraId="45209890">
            <w:pPr>
              <w:jc w:val="center"/>
              <w:rPr>
                <w:rFonts w:ascii="Times New Roman" w:hAnsi="Times New Roman"/>
                <w:kern w:val="0"/>
              </w:rPr>
            </w:pPr>
            <w:r>
              <w:rPr>
                <w:rFonts w:ascii="Times New Roman" w:hAnsi="Times New Roman"/>
                <w:kern w:val="0"/>
              </w:rPr>
              <w:t>分拣费</w:t>
            </w:r>
          </w:p>
        </w:tc>
        <w:tc>
          <w:tcPr>
            <w:tcW w:w="703" w:type="dxa"/>
            <w:tcBorders>
              <w:top w:val="nil"/>
              <w:left w:val="nil"/>
              <w:bottom w:val="single" w:color="auto" w:sz="4" w:space="0"/>
              <w:right w:val="single" w:color="auto" w:sz="4" w:space="0"/>
            </w:tcBorders>
            <w:shd w:val="clear" w:color="auto" w:fill="auto"/>
            <w:noWrap/>
            <w:vAlign w:val="center"/>
          </w:tcPr>
          <w:p w14:paraId="52821FC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0E8F2F6C">
            <w:pPr>
              <w:jc w:val="center"/>
              <w:rPr>
                <w:rFonts w:ascii="Times New Roman" w:hAnsi="Times New Roman"/>
                <w:kern w:val="0"/>
              </w:rPr>
            </w:pPr>
            <w:r>
              <w:rPr>
                <w:rFonts w:ascii="Times New Roman" w:hAnsi="Times New Roman"/>
                <w:kern w:val="0"/>
              </w:rPr>
              <w:t>元/箱</w:t>
            </w:r>
          </w:p>
        </w:tc>
        <w:tc>
          <w:tcPr>
            <w:tcW w:w="5670" w:type="dxa"/>
            <w:tcBorders>
              <w:top w:val="nil"/>
              <w:left w:val="nil"/>
              <w:bottom w:val="single" w:color="auto" w:sz="4" w:space="0"/>
              <w:right w:val="single" w:color="auto" w:sz="4" w:space="0"/>
            </w:tcBorders>
            <w:shd w:val="clear" w:color="auto" w:fill="auto"/>
            <w:noWrap/>
            <w:vAlign w:val="center"/>
          </w:tcPr>
          <w:p w14:paraId="4EB43001">
            <w:pPr>
              <w:rPr>
                <w:rFonts w:ascii="Times New Roman" w:hAnsi="Times New Roman"/>
                <w:kern w:val="0"/>
              </w:rPr>
            </w:pPr>
            <w:r>
              <w:rPr>
                <w:rFonts w:ascii="Times New Roman" w:hAnsi="Times New Roman"/>
                <w:kern w:val="0"/>
              </w:rPr>
              <w:t>整箱分拣。</w:t>
            </w:r>
          </w:p>
        </w:tc>
      </w:tr>
      <w:tr w14:paraId="78AA7395">
        <w:tblPrEx>
          <w:tblCellMar>
            <w:top w:w="0" w:type="dxa"/>
            <w:left w:w="108" w:type="dxa"/>
            <w:bottom w:w="0" w:type="dxa"/>
            <w:right w:w="108" w:type="dxa"/>
          </w:tblCellMar>
        </w:tblPrEx>
        <w:trPr>
          <w:trHeight w:val="497"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02328865">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59E2BE97">
            <w:pPr>
              <w:jc w:val="center"/>
              <w:rPr>
                <w:rFonts w:ascii="Times New Roman" w:hAnsi="Times New Roman"/>
                <w:kern w:val="0"/>
              </w:rPr>
            </w:pPr>
            <w:r>
              <w:rPr>
                <w:rFonts w:ascii="Times New Roman" w:hAnsi="Times New Roman"/>
                <w:kern w:val="0"/>
              </w:rPr>
              <w:t>拆零费</w:t>
            </w:r>
          </w:p>
        </w:tc>
        <w:tc>
          <w:tcPr>
            <w:tcW w:w="703" w:type="dxa"/>
            <w:tcBorders>
              <w:top w:val="nil"/>
              <w:left w:val="nil"/>
              <w:bottom w:val="single" w:color="auto" w:sz="4" w:space="0"/>
              <w:right w:val="single" w:color="auto" w:sz="4" w:space="0"/>
            </w:tcBorders>
            <w:shd w:val="clear" w:color="auto" w:fill="auto"/>
            <w:noWrap/>
            <w:vAlign w:val="center"/>
          </w:tcPr>
          <w:p w14:paraId="0479EC36">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1B93600F">
            <w:pPr>
              <w:jc w:val="center"/>
              <w:rPr>
                <w:rFonts w:ascii="Times New Roman" w:hAnsi="Times New Roman"/>
                <w:kern w:val="0"/>
              </w:rPr>
            </w:pPr>
            <w:r>
              <w:rPr>
                <w:rFonts w:ascii="Times New Roman" w:hAnsi="Times New Roman"/>
                <w:kern w:val="0"/>
              </w:rPr>
              <w:t>元/件</w:t>
            </w:r>
          </w:p>
        </w:tc>
        <w:tc>
          <w:tcPr>
            <w:tcW w:w="5670" w:type="dxa"/>
            <w:tcBorders>
              <w:top w:val="nil"/>
              <w:left w:val="nil"/>
              <w:bottom w:val="single" w:color="auto" w:sz="4" w:space="0"/>
              <w:right w:val="single" w:color="auto" w:sz="4" w:space="0"/>
            </w:tcBorders>
            <w:shd w:val="clear" w:color="auto" w:fill="auto"/>
            <w:noWrap/>
            <w:vAlign w:val="center"/>
          </w:tcPr>
          <w:p w14:paraId="6EA2CEB4">
            <w:pPr>
              <w:rPr>
                <w:rFonts w:ascii="Times New Roman" w:hAnsi="Times New Roman"/>
                <w:kern w:val="0"/>
              </w:rPr>
            </w:pPr>
            <w:r>
              <w:rPr>
                <w:rFonts w:ascii="Times New Roman" w:hAnsi="Times New Roman"/>
                <w:kern w:val="0"/>
              </w:rPr>
              <w:t>拆零至最小单位分拣</w:t>
            </w:r>
          </w:p>
        </w:tc>
      </w:tr>
      <w:tr w14:paraId="2C964C04">
        <w:tblPrEx>
          <w:tblCellMar>
            <w:top w:w="0" w:type="dxa"/>
            <w:left w:w="108" w:type="dxa"/>
            <w:bottom w:w="0" w:type="dxa"/>
            <w:right w:w="108" w:type="dxa"/>
          </w:tblCellMar>
        </w:tblPrEx>
        <w:trPr>
          <w:trHeight w:val="473"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76D2A397">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380D40CA">
            <w:pPr>
              <w:jc w:val="center"/>
              <w:rPr>
                <w:rFonts w:ascii="Times New Roman" w:hAnsi="Times New Roman"/>
                <w:kern w:val="0"/>
              </w:rPr>
            </w:pPr>
            <w:r>
              <w:rPr>
                <w:rFonts w:ascii="Times New Roman" w:hAnsi="Times New Roman"/>
                <w:kern w:val="0"/>
              </w:rPr>
              <w:t>装卸费</w:t>
            </w:r>
          </w:p>
        </w:tc>
        <w:tc>
          <w:tcPr>
            <w:tcW w:w="703" w:type="dxa"/>
            <w:tcBorders>
              <w:top w:val="nil"/>
              <w:left w:val="nil"/>
              <w:bottom w:val="single" w:color="auto" w:sz="4" w:space="0"/>
              <w:right w:val="single" w:color="auto" w:sz="4" w:space="0"/>
            </w:tcBorders>
            <w:shd w:val="clear" w:color="auto" w:fill="auto"/>
            <w:noWrap/>
            <w:vAlign w:val="center"/>
          </w:tcPr>
          <w:p w14:paraId="02084C8F">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AF7420C">
            <w:pPr>
              <w:jc w:val="center"/>
              <w:rPr>
                <w:rFonts w:ascii="Times New Roman" w:hAnsi="Times New Roman"/>
                <w:kern w:val="0"/>
              </w:rPr>
            </w:pPr>
            <w:r>
              <w:rPr>
                <w:rFonts w:ascii="Times New Roman" w:hAnsi="Times New Roman"/>
                <w:kern w:val="0"/>
              </w:rPr>
              <w:t>元/吨</w:t>
            </w:r>
          </w:p>
        </w:tc>
        <w:tc>
          <w:tcPr>
            <w:tcW w:w="5670" w:type="dxa"/>
            <w:tcBorders>
              <w:top w:val="nil"/>
              <w:left w:val="nil"/>
              <w:bottom w:val="single" w:color="auto" w:sz="4" w:space="0"/>
              <w:right w:val="single" w:color="auto" w:sz="4" w:space="0"/>
            </w:tcBorders>
            <w:shd w:val="clear" w:color="auto" w:fill="auto"/>
            <w:noWrap/>
            <w:vAlign w:val="center"/>
          </w:tcPr>
          <w:p w14:paraId="412D9FBF">
            <w:pPr>
              <w:rPr>
                <w:rFonts w:ascii="Times New Roman" w:hAnsi="Times New Roman"/>
                <w:kern w:val="0"/>
              </w:rPr>
            </w:pPr>
            <w:r>
              <w:rPr>
                <w:rFonts w:ascii="Times New Roman" w:hAnsi="Times New Roman"/>
                <w:kern w:val="0"/>
              </w:rPr>
              <w:t>货品入库、出库需我司装卸作业时收取费用。</w:t>
            </w:r>
          </w:p>
        </w:tc>
      </w:tr>
      <w:tr w14:paraId="62570BE2">
        <w:tblPrEx>
          <w:tblCellMar>
            <w:top w:w="0" w:type="dxa"/>
            <w:left w:w="108" w:type="dxa"/>
            <w:bottom w:w="0" w:type="dxa"/>
            <w:right w:w="108" w:type="dxa"/>
          </w:tblCellMar>
        </w:tblPrEx>
        <w:trPr>
          <w:trHeight w:val="421"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5E153970">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027DD35B">
            <w:pPr>
              <w:jc w:val="center"/>
              <w:rPr>
                <w:rFonts w:ascii="Times New Roman" w:hAnsi="Times New Roman"/>
                <w:kern w:val="0"/>
              </w:rPr>
            </w:pPr>
            <w:r>
              <w:rPr>
                <w:rFonts w:ascii="Times New Roman" w:hAnsi="Times New Roman"/>
                <w:kern w:val="0"/>
              </w:rPr>
              <w:t>贴标费</w:t>
            </w:r>
          </w:p>
        </w:tc>
        <w:tc>
          <w:tcPr>
            <w:tcW w:w="703" w:type="dxa"/>
            <w:tcBorders>
              <w:top w:val="nil"/>
              <w:left w:val="nil"/>
              <w:bottom w:val="single" w:color="auto" w:sz="4" w:space="0"/>
              <w:right w:val="single" w:color="auto" w:sz="4" w:space="0"/>
            </w:tcBorders>
            <w:shd w:val="clear" w:color="auto" w:fill="auto"/>
            <w:noWrap/>
            <w:vAlign w:val="center"/>
          </w:tcPr>
          <w:p w14:paraId="0D1E8AC7">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7A488988">
            <w:pPr>
              <w:jc w:val="center"/>
              <w:rPr>
                <w:rFonts w:ascii="Times New Roman" w:hAnsi="Times New Roman"/>
                <w:kern w:val="0"/>
              </w:rPr>
            </w:pPr>
            <w:r>
              <w:rPr>
                <w:rFonts w:ascii="Times New Roman" w:hAnsi="Times New Roman"/>
                <w:kern w:val="0"/>
              </w:rPr>
              <w:t>元/张</w:t>
            </w:r>
          </w:p>
        </w:tc>
        <w:tc>
          <w:tcPr>
            <w:tcW w:w="5670" w:type="dxa"/>
            <w:tcBorders>
              <w:top w:val="nil"/>
              <w:left w:val="nil"/>
              <w:bottom w:val="single" w:color="auto" w:sz="4" w:space="0"/>
              <w:right w:val="single" w:color="auto" w:sz="4" w:space="0"/>
            </w:tcBorders>
            <w:shd w:val="clear" w:color="auto" w:fill="auto"/>
            <w:noWrap/>
            <w:vAlign w:val="center"/>
          </w:tcPr>
          <w:p w14:paraId="01340B52">
            <w:pPr>
              <w:rPr>
                <w:rFonts w:ascii="Times New Roman" w:hAnsi="Times New Roman"/>
                <w:kern w:val="0"/>
              </w:rPr>
            </w:pPr>
            <w:r>
              <w:rPr>
                <w:rFonts w:ascii="Times New Roman" w:hAnsi="Times New Roman"/>
                <w:kern w:val="0"/>
              </w:rPr>
              <w:t>贴标人工费</w:t>
            </w:r>
          </w:p>
        </w:tc>
      </w:tr>
      <w:tr w14:paraId="6E92B140">
        <w:tblPrEx>
          <w:tblCellMar>
            <w:top w:w="0" w:type="dxa"/>
            <w:left w:w="108" w:type="dxa"/>
            <w:bottom w:w="0" w:type="dxa"/>
            <w:right w:w="108" w:type="dxa"/>
          </w:tblCellMar>
        </w:tblPrEx>
        <w:trPr>
          <w:trHeight w:val="477"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14:paraId="03F67EC0">
            <w:pPr>
              <w:jc w:val="center"/>
              <w:rPr>
                <w:rFonts w:ascii="Times New Roman" w:hAnsi="Times New Roman"/>
                <w:kern w:val="0"/>
              </w:rPr>
            </w:pPr>
            <w:r>
              <w:rPr>
                <w:rFonts w:ascii="Times New Roman" w:hAnsi="Times New Roman"/>
                <w:kern w:val="0"/>
              </w:rPr>
              <w:t>越库</w:t>
            </w:r>
          </w:p>
        </w:tc>
        <w:tc>
          <w:tcPr>
            <w:tcW w:w="1389" w:type="dxa"/>
            <w:tcBorders>
              <w:top w:val="nil"/>
              <w:left w:val="nil"/>
              <w:bottom w:val="single" w:color="auto" w:sz="4" w:space="0"/>
              <w:right w:val="single" w:color="auto" w:sz="4" w:space="0"/>
            </w:tcBorders>
            <w:shd w:val="clear" w:color="auto" w:fill="auto"/>
            <w:noWrap/>
            <w:vAlign w:val="center"/>
          </w:tcPr>
          <w:p w14:paraId="6B6D4F41">
            <w:pPr>
              <w:jc w:val="center"/>
              <w:rPr>
                <w:rFonts w:ascii="Times New Roman" w:hAnsi="Times New Roman"/>
                <w:kern w:val="0"/>
              </w:rPr>
            </w:pPr>
            <w:r>
              <w:rPr>
                <w:rFonts w:ascii="Times New Roman" w:hAnsi="Times New Roman"/>
                <w:kern w:val="0"/>
              </w:rPr>
              <w:t>越库费</w:t>
            </w:r>
          </w:p>
        </w:tc>
        <w:tc>
          <w:tcPr>
            <w:tcW w:w="703" w:type="dxa"/>
            <w:tcBorders>
              <w:top w:val="nil"/>
              <w:left w:val="nil"/>
              <w:bottom w:val="single" w:color="auto" w:sz="4" w:space="0"/>
              <w:right w:val="single" w:color="auto" w:sz="4" w:space="0"/>
            </w:tcBorders>
            <w:shd w:val="clear" w:color="auto" w:fill="auto"/>
            <w:noWrap/>
            <w:vAlign w:val="center"/>
          </w:tcPr>
          <w:p w14:paraId="1C2B9D81">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45CF2E6">
            <w:pPr>
              <w:jc w:val="center"/>
              <w:rPr>
                <w:rFonts w:ascii="Times New Roman" w:hAnsi="Times New Roman"/>
                <w:kern w:val="0"/>
              </w:rPr>
            </w:pPr>
            <w:r>
              <w:rPr>
                <w:rFonts w:ascii="Times New Roman" w:hAnsi="Times New Roman"/>
                <w:kern w:val="0"/>
              </w:rPr>
              <w:t>元/吨</w:t>
            </w:r>
          </w:p>
        </w:tc>
        <w:tc>
          <w:tcPr>
            <w:tcW w:w="5670" w:type="dxa"/>
            <w:tcBorders>
              <w:top w:val="nil"/>
              <w:left w:val="nil"/>
              <w:bottom w:val="single" w:color="auto" w:sz="4" w:space="0"/>
              <w:right w:val="single" w:color="auto" w:sz="4" w:space="0"/>
            </w:tcBorders>
            <w:shd w:val="clear" w:color="auto" w:fill="auto"/>
            <w:noWrap/>
            <w:vAlign w:val="center"/>
          </w:tcPr>
          <w:p w14:paraId="21490588">
            <w:pPr>
              <w:rPr>
                <w:rFonts w:ascii="Times New Roman" w:hAnsi="Times New Roman"/>
                <w:kern w:val="0"/>
              </w:rPr>
            </w:pPr>
            <w:r>
              <w:rPr>
                <w:rFonts w:ascii="Times New Roman" w:hAnsi="Times New Roman"/>
                <w:kern w:val="0"/>
              </w:rPr>
              <w:t>含进出仓费及场地费，不含分拣费，不足1吨按1吨计算</w:t>
            </w:r>
          </w:p>
        </w:tc>
      </w:tr>
      <w:tr w14:paraId="039B3F87">
        <w:tblPrEx>
          <w:tblCellMar>
            <w:top w:w="0" w:type="dxa"/>
            <w:left w:w="108" w:type="dxa"/>
            <w:bottom w:w="0" w:type="dxa"/>
            <w:right w:w="108" w:type="dxa"/>
          </w:tblCellMar>
        </w:tblPrEx>
        <w:trPr>
          <w:trHeight w:val="403" w:hRule="atLeast"/>
        </w:trPr>
        <w:tc>
          <w:tcPr>
            <w:tcW w:w="1271" w:type="dxa"/>
            <w:vMerge w:val="continue"/>
            <w:tcBorders>
              <w:top w:val="nil"/>
              <w:left w:val="single" w:color="auto" w:sz="4" w:space="0"/>
              <w:bottom w:val="single" w:color="auto" w:sz="4" w:space="0"/>
              <w:right w:val="single" w:color="auto" w:sz="4" w:space="0"/>
            </w:tcBorders>
            <w:vAlign w:val="center"/>
          </w:tcPr>
          <w:p w14:paraId="4EFD577D">
            <w:pPr>
              <w:rPr>
                <w:rFonts w:ascii="Times New Roman" w:hAnsi="Times New Roman"/>
                <w:kern w:val="0"/>
              </w:rPr>
            </w:pPr>
          </w:p>
        </w:tc>
        <w:tc>
          <w:tcPr>
            <w:tcW w:w="1389" w:type="dxa"/>
            <w:vMerge w:val="restart"/>
            <w:tcBorders>
              <w:top w:val="nil"/>
              <w:left w:val="single" w:color="auto" w:sz="4" w:space="0"/>
              <w:bottom w:val="single" w:color="auto" w:sz="4" w:space="0"/>
              <w:right w:val="single" w:color="auto" w:sz="4" w:space="0"/>
            </w:tcBorders>
            <w:shd w:val="clear" w:color="auto" w:fill="auto"/>
            <w:noWrap/>
            <w:vAlign w:val="center"/>
          </w:tcPr>
          <w:p w14:paraId="0CB3A3F1">
            <w:pPr>
              <w:jc w:val="center"/>
              <w:rPr>
                <w:rFonts w:ascii="Times New Roman" w:hAnsi="Times New Roman"/>
                <w:kern w:val="0"/>
              </w:rPr>
            </w:pPr>
            <w:r>
              <w:rPr>
                <w:rFonts w:ascii="Times New Roman" w:hAnsi="Times New Roman"/>
                <w:kern w:val="0"/>
              </w:rPr>
              <w:t>分拣费</w:t>
            </w:r>
          </w:p>
        </w:tc>
        <w:tc>
          <w:tcPr>
            <w:tcW w:w="703" w:type="dxa"/>
            <w:tcBorders>
              <w:top w:val="nil"/>
              <w:left w:val="nil"/>
              <w:bottom w:val="single" w:color="auto" w:sz="4" w:space="0"/>
              <w:right w:val="single" w:color="auto" w:sz="4" w:space="0"/>
            </w:tcBorders>
            <w:shd w:val="clear" w:color="auto" w:fill="auto"/>
            <w:noWrap/>
            <w:vAlign w:val="center"/>
          </w:tcPr>
          <w:p w14:paraId="7A5E402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74E138C">
            <w:pPr>
              <w:jc w:val="center"/>
              <w:rPr>
                <w:rFonts w:ascii="Times New Roman" w:hAnsi="Times New Roman"/>
                <w:kern w:val="0"/>
              </w:rPr>
            </w:pPr>
            <w:r>
              <w:rPr>
                <w:rFonts w:ascii="Times New Roman" w:hAnsi="Times New Roman"/>
                <w:kern w:val="0"/>
              </w:rPr>
              <w:t>元/箱</w:t>
            </w:r>
          </w:p>
        </w:tc>
        <w:tc>
          <w:tcPr>
            <w:tcW w:w="5670" w:type="dxa"/>
            <w:tcBorders>
              <w:top w:val="nil"/>
              <w:left w:val="nil"/>
              <w:bottom w:val="single" w:color="auto" w:sz="4" w:space="0"/>
              <w:right w:val="single" w:color="auto" w:sz="4" w:space="0"/>
            </w:tcBorders>
            <w:shd w:val="clear" w:color="auto" w:fill="auto"/>
            <w:noWrap/>
            <w:vAlign w:val="center"/>
          </w:tcPr>
          <w:p w14:paraId="5F715F8E">
            <w:pPr>
              <w:rPr>
                <w:rFonts w:ascii="Times New Roman" w:hAnsi="Times New Roman"/>
                <w:kern w:val="0"/>
              </w:rPr>
            </w:pPr>
            <w:r>
              <w:rPr>
                <w:rFonts w:ascii="Times New Roman" w:hAnsi="Times New Roman"/>
                <w:kern w:val="0"/>
              </w:rPr>
              <w:t>供应商按门店交接</w:t>
            </w:r>
          </w:p>
        </w:tc>
      </w:tr>
      <w:tr w14:paraId="40335B88">
        <w:tblPrEx>
          <w:tblCellMar>
            <w:top w:w="0" w:type="dxa"/>
            <w:left w:w="108" w:type="dxa"/>
            <w:bottom w:w="0" w:type="dxa"/>
            <w:right w:w="108" w:type="dxa"/>
          </w:tblCellMar>
        </w:tblPrEx>
        <w:trPr>
          <w:trHeight w:val="384" w:hRule="atLeast"/>
        </w:trPr>
        <w:tc>
          <w:tcPr>
            <w:tcW w:w="1271" w:type="dxa"/>
            <w:vMerge w:val="continue"/>
            <w:tcBorders>
              <w:top w:val="nil"/>
              <w:left w:val="single" w:color="auto" w:sz="4" w:space="0"/>
              <w:bottom w:val="single" w:color="auto" w:sz="4" w:space="0"/>
              <w:right w:val="single" w:color="auto" w:sz="4" w:space="0"/>
            </w:tcBorders>
            <w:vAlign w:val="center"/>
          </w:tcPr>
          <w:p w14:paraId="77F6D6CA">
            <w:pPr>
              <w:rPr>
                <w:rFonts w:ascii="Times New Roman" w:hAnsi="Times New Roman"/>
                <w:kern w:val="0"/>
              </w:rPr>
            </w:pPr>
          </w:p>
        </w:tc>
        <w:tc>
          <w:tcPr>
            <w:tcW w:w="1389" w:type="dxa"/>
            <w:vMerge w:val="continue"/>
            <w:tcBorders>
              <w:top w:val="nil"/>
              <w:left w:val="single" w:color="auto" w:sz="4" w:space="0"/>
              <w:bottom w:val="single" w:color="auto" w:sz="4" w:space="0"/>
              <w:right w:val="single" w:color="auto" w:sz="4" w:space="0"/>
            </w:tcBorders>
            <w:vAlign w:val="center"/>
          </w:tcPr>
          <w:p w14:paraId="06B3F962">
            <w:pPr>
              <w:rPr>
                <w:rFonts w:ascii="Times New Roman" w:hAnsi="Times New Roman"/>
                <w:kern w:val="0"/>
              </w:rPr>
            </w:pPr>
          </w:p>
        </w:tc>
        <w:tc>
          <w:tcPr>
            <w:tcW w:w="703" w:type="dxa"/>
            <w:tcBorders>
              <w:top w:val="nil"/>
              <w:left w:val="nil"/>
              <w:bottom w:val="single" w:color="auto" w:sz="4" w:space="0"/>
              <w:right w:val="single" w:color="auto" w:sz="4" w:space="0"/>
            </w:tcBorders>
            <w:shd w:val="clear" w:color="auto" w:fill="auto"/>
            <w:noWrap/>
            <w:vAlign w:val="center"/>
          </w:tcPr>
          <w:p w14:paraId="0E66E98A">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2DDC9556">
            <w:pPr>
              <w:jc w:val="center"/>
              <w:rPr>
                <w:rFonts w:ascii="Times New Roman" w:hAnsi="Times New Roman"/>
                <w:kern w:val="0"/>
              </w:rPr>
            </w:pPr>
            <w:r>
              <w:rPr>
                <w:rFonts w:ascii="Times New Roman" w:hAnsi="Times New Roman"/>
                <w:kern w:val="0"/>
              </w:rPr>
              <w:t>元/件</w:t>
            </w:r>
          </w:p>
        </w:tc>
        <w:tc>
          <w:tcPr>
            <w:tcW w:w="5670" w:type="dxa"/>
            <w:tcBorders>
              <w:top w:val="nil"/>
              <w:left w:val="nil"/>
              <w:bottom w:val="single" w:color="auto" w:sz="4" w:space="0"/>
              <w:right w:val="single" w:color="auto" w:sz="4" w:space="0"/>
            </w:tcBorders>
            <w:shd w:val="clear" w:color="auto" w:fill="auto"/>
            <w:noWrap/>
            <w:vAlign w:val="center"/>
          </w:tcPr>
          <w:p w14:paraId="5E5C5371">
            <w:pPr>
              <w:rPr>
                <w:rFonts w:ascii="Times New Roman" w:hAnsi="Times New Roman"/>
                <w:kern w:val="0"/>
              </w:rPr>
            </w:pPr>
            <w:r>
              <w:rPr>
                <w:rFonts w:ascii="Times New Roman" w:hAnsi="Times New Roman"/>
                <w:kern w:val="0"/>
              </w:rPr>
              <w:t>含标签成本及贴标人工费，不含包材费</w:t>
            </w:r>
          </w:p>
        </w:tc>
      </w:tr>
      <w:tr w14:paraId="2CC12DC5">
        <w:tblPrEx>
          <w:tblCellMar>
            <w:top w:w="0" w:type="dxa"/>
            <w:left w:w="108" w:type="dxa"/>
            <w:bottom w:w="0" w:type="dxa"/>
            <w:right w:w="108" w:type="dxa"/>
          </w:tblCellMar>
        </w:tblPrEx>
        <w:trPr>
          <w:trHeight w:val="611"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532B38B1">
            <w:pPr>
              <w:jc w:val="center"/>
              <w:rPr>
                <w:rFonts w:ascii="Times New Roman" w:hAnsi="Times New Roman"/>
                <w:kern w:val="0"/>
              </w:rPr>
            </w:pPr>
            <w:r>
              <w:rPr>
                <w:rFonts w:ascii="Times New Roman" w:hAnsi="Times New Roman"/>
                <w:kern w:val="0"/>
              </w:rPr>
              <w:t>附加费</w:t>
            </w:r>
          </w:p>
        </w:tc>
        <w:tc>
          <w:tcPr>
            <w:tcW w:w="1389" w:type="dxa"/>
            <w:tcBorders>
              <w:top w:val="nil"/>
              <w:left w:val="nil"/>
              <w:bottom w:val="single" w:color="auto" w:sz="4" w:space="0"/>
              <w:right w:val="single" w:color="auto" w:sz="4" w:space="0"/>
            </w:tcBorders>
            <w:shd w:val="clear" w:color="auto" w:fill="auto"/>
            <w:noWrap/>
            <w:vAlign w:val="center"/>
          </w:tcPr>
          <w:p w14:paraId="3E7ECFB6">
            <w:pPr>
              <w:jc w:val="center"/>
              <w:rPr>
                <w:rFonts w:ascii="Times New Roman" w:hAnsi="Times New Roman"/>
                <w:kern w:val="0"/>
              </w:rPr>
            </w:pPr>
            <w:r>
              <w:rPr>
                <w:rFonts w:ascii="Times New Roman" w:hAnsi="Times New Roman"/>
                <w:kern w:val="0"/>
              </w:rPr>
              <w:t>加班费</w:t>
            </w:r>
          </w:p>
        </w:tc>
        <w:tc>
          <w:tcPr>
            <w:tcW w:w="703" w:type="dxa"/>
            <w:tcBorders>
              <w:top w:val="nil"/>
              <w:left w:val="nil"/>
              <w:bottom w:val="single" w:color="auto" w:sz="4" w:space="0"/>
              <w:right w:val="single" w:color="auto" w:sz="4" w:space="0"/>
            </w:tcBorders>
            <w:shd w:val="clear" w:color="auto" w:fill="auto"/>
            <w:noWrap/>
            <w:vAlign w:val="center"/>
          </w:tcPr>
          <w:p w14:paraId="5B94F4DC">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036BA3B">
            <w:pPr>
              <w:jc w:val="center"/>
              <w:rPr>
                <w:rFonts w:ascii="Times New Roman" w:hAnsi="Times New Roman"/>
                <w:kern w:val="0"/>
              </w:rPr>
            </w:pPr>
            <w:r>
              <w:rPr>
                <w:rFonts w:ascii="Times New Roman" w:hAnsi="Times New Roman"/>
                <w:kern w:val="0"/>
              </w:rPr>
              <w:t>元/小时/人</w:t>
            </w:r>
          </w:p>
        </w:tc>
        <w:tc>
          <w:tcPr>
            <w:tcW w:w="5670" w:type="dxa"/>
            <w:tcBorders>
              <w:top w:val="nil"/>
              <w:left w:val="nil"/>
              <w:bottom w:val="single" w:color="auto" w:sz="4" w:space="0"/>
              <w:right w:val="single" w:color="auto" w:sz="4" w:space="0"/>
            </w:tcBorders>
            <w:shd w:val="clear" w:color="auto" w:fill="auto"/>
            <w:noWrap/>
            <w:vAlign w:val="center"/>
          </w:tcPr>
          <w:p w14:paraId="7A24A82E">
            <w:pPr>
              <w:rPr>
                <w:rFonts w:ascii="Times New Roman" w:hAnsi="Times New Roman"/>
                <w:kern w:val="0"/>
              </w:rPr>
            </w:pPr>
            <w:r>
              <w:rPr>
                <w:rFonts w:ascii="Times New Roman" w:hAnsi="Times New Roman"/>
                <w:kern w:val="0"/>
              </w:rPr>
              <w:t>常规入仓时间为周一至周日09: 00-17: 00</w:t>
            </w:r>
          </w:p>
        </w:tc>
      </w:tr>
      <w:tr w14:paraId="62D84D94">
        <w:tblPrEx>
          <w:tblCellMar>
            <w:top w:w="0" w:type="dxa"/>
            <w:left w:w="108" w:type="dxa"/>
            <w:bottom w:w="0" w:type="dxa"/>
            <w:right w:w="108" w:type="dxa"/>
          </w:tblCellMar>
        </w:tblPrEx>
        <w:trPr>
          <w:trHeight w:val="572" w:hRule="atLeast"/>
        </w:trPr>
        <w:tc>
          <w:tcPr>
            <w:tcW w:w="1271" w:type="dxa"/>
            <w:vMerge w:val="restart"/>
            <w:tcBorders>
              <w:top w:val="nil"/>
              <w:left w:val="single" w:color="auto" w:sz="4" w:space="0"/>
              <w:bottom w:val="single" w:color="000000" w:sz="4" w:space="0"/>
              <w:right w:val="single" w:color="auto" w:sz="4" w:space="0"/>
            </w:tcBorders>
            <w:shd w:val="clear" w:color="auto" w:fill="auto"/>
            <w:vAlign w:val="center"/>
          </w:tcPr>
          <w:p w14:paraId="1D26D4D6">
            <w:pPr>
              <w:jc w:val="center"/>
              <w:rPr>
                <w:rFonts w:ascii="Times New Roman" w:hAnsi="Times New Roman"/>
                <w:kern w:val="0"/>
              </w:rPr>
            </w:pPr>
            <w:r>
              <w:rPr>
                <w:rFonts w:ascii="Times New Roman" w:hAnsi="Times New Roman"/>
                <w:kern w:val="0"/>
              </w:rPr>
              <w:t>增值     服务费</w:t>
            </w:r>
          </w:p>
        </w:tc>
        <w:tc>
          <w:tcPr>
            <w:tcW w:w="1389" w:type="dxa"/>
            <w:tcBorders>
              <w:top w:val="nil"/>
              <w:left w:val="nil"/>
              <w:bottom w:val="single" w:color="auto" w:sz="4" w:space="0"/>
              <w:right w:val="single" w:color="auto" w:sz="4" w:space="0"/>
            </w:tcBorders>
            <w:shd w:val="clear" w:color="auto" w:fill="auto"/>
            <w:noWrap/>
            <w:vAlign w:val="center"/>
          </w:tcPr>
          <w:p w14:paraId="0C26F30A">
            <w:pPr>
              <w:jc w:val="center"/>
              <w:rPr>
                <w:rFonts w:ascii="Times New Roman" w:hAnsi="Times New Roman"/>
                <w:kern w:val="0"/>
              </w:rPr>
            </w:pPr>
            <w:r>
              <w:rPr>
                <w:rFonts w:ascii="Times New Roman" w:hAnsi="Times New Roman"/>
                <w:kern w:val="0"/>
              </w:rPr>
              <w:t>废品处置费</w:t>
            </w:r>
          </w:p>
        </w:tc>
        <w:tc>
          <w:tcPr>
            <w:tcW w:w="703" w:type="dxa"/>
            <w:tcBorders>
              <w:top w:val="nil"/>
              <w:left w:val="nil"/>
              <w:bottom w:val="single" w:color="auto" w:sz="4" w:space="0"/>
              <w:right w:val="single" w:color="auto" w:sz="4" w:space="0"/>
            </w:tcBorders>
            <w:shd w:val="clear" w:color="auto" w:fill="auto"/>
            <w:noWrap/>
            <w:vAlign w:val="center"/>
          </w:tcPr>
          <w:p w14:paraId="39D8A12D">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CEBFCE0">
            <w:pPr>
              <w:jc w:val="center"/>
              <w:rPr>
                <w:rFonts w:ascii="Times New Roman" w:hAnsi="Times New Roman"/>
                <w:kern w:val="0"/>
              </w:rPr>
            </w:pPr>
            <w:r>
              <w:rPr>
                <w:rFonts w:ascii="Times New Roman" w:hAnsi="Times New Roman"/>
                <w:kern w:val="0"/>
              </w:rPr>
              <w:t>元/吨</w:t>
            </w:r>
          </w:p>
        </w:tc>
        <w:tc>
          <w:tcPr>
            <w:tcW w:w="5670" w:type="dxa"/>
            <w:tcBorders>
              <w:top w:val="nil"/>
              <w:left w:val="nil"/>
              <w:bottom w:val="single" w:color="auto" w:sz="4" w:space="0"/>
              <w:right w:val="single" w:color="auto" w:sz="4" w:space="0"/>
            </w:tcBorders>
            <w:shd w:val="clear" w:color="auto" w:fill="auto"/>
            <w:noWrap/>
            <w:vAlign w:val="center"/>
          </w:tcPr>
          <w:p w14:paraId="55B3A833">
            <w:pPr>
              <w:rPr>
                <w:rFonts w:ascii="Times New Roman" w:hAnsi="Times New Roman"/>
                <w:kern w:val="0"/>
              </w:rPr>
            </w:pPr>
            <w:r>
              <w:rPr>
                <w:rFonts w:ascii="Times New Roman" w:hAnsi="Times New Roman"/>
                <w:kern w:val="0"/>
              </w:rPr>
              <w:t>委托专业报废公司处理。</w:t>
            </w:r>
          </w:p>
        </w:tc>
      </w:tr>
      <w:tr w14:paraId="1D9B0D2D">
        <w:tblPrEx>
          <w:tblCellMar>
            <w:top w:w="0" w:type="dxa"/>
            <w:left w:w="108" w:type="dxa"/>
            <w:bottom w:w="0" w:type="dxa"/>
            <w:right w:w="108" w:type="dxa"/>
          </w:tblCellMar>
        </w:tblPrEx>
        <w:trPr>
          <w:trHeight w:val="552" w:hRule="atLeast"/>
        </w:trPr>
        <w:tc>
          <w:tcPr>
            <w:tcW w:w="1271" w:type="dxa"/>
            <w:vMerge w:val="continue"/>
            <w:tcBorders>
              <w:top w:val="nil"/>
              <w:left w:val="single" w:color="auto" w:sz="4" w:space="0"/>
              <w:bottom w:val="single" w:color="000000" w:sz="4" w:space="0"/>
              <w:right w:val="single" w:color="auto" w:sz="4" w:space="0"/>
            </w:tcBorders>
            <w:vAlign w:val="center"/>
          </w:tcPr>
          <w:p w14:paraId="686F8533">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46C01CA9">
            <w:pPr>
              <w:jc w:val="center"/>
              <w:rPr>
                <w:rFonts w:ascii="Times New Roman" w:hAnsi="Times New Roman"/>
                <w:kern w:val="0"/>
              </w:rPr>
            </w:pPr>
            <w:r>
              <w:rPr>
                <w:rFonts w:ascii="Times New Roman" w:hAnsi="Times New Roman"/>
                <w:kern w:val="0"/>
              </w:rPr>
              <w:t>单证费</w:t>
            </w:r>
          </w:p>
        </w:tc>
        <w:tc>
          <w:tcPr>
            <w:tcW w:w="703" w:type="dxa"/>
            <w:tcBorders>
              <w:top w:val="nil"/>
              <w:left w:val="nil"/>
              <w:bottom w:val="single" w:color="auto" w:sz="4" w:space="0"/>
              <w:right w:val="single" w:color="auto" w:sz="4" w:space="0"/>
            </w:tcBorders>
            <w:shd w:val="clear" w:color="auto" w:fill="auto"/>
            <w:noWrap/>
            <w:vAlign w:val="center"/>
          </w:tcPr>
          <w:p w14:paraId="5EAB518A">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5BC250C">
            <w:pPr>
              <w:jc w:val="center"/>
              <w:rPr>
                <w:rFonts w:ascii="Times New Roman" w:hAnsi="Times New Roman"/>
                <w:kern w:val="0"/>
              </w:rPr>
            </w:pPr>
            <w:r>
              <w:rPr>
                <w:rFonts w:ascii="Times New Roman" w:hAnsi="Times New Roman"/>
                <w:kern w:val="0"/>
              </w:rPr>
              <w:t>元/店/张</w:t>
            </w:r>
          </w:p>
        </w:tc>
        <w:tc>
          <w:tcPr>
            <w:tcW w:w="5670" w:type="dxa"/>
            <w:tcBorders>
              <w:top w:val="nil"/>
              <w:left w:val="nil"/>
              <w:bottom w:val="single" w:color="auto" w:sz="4" w:space="0"/>
              <w:right w:val="single" w:color="auto" w:sz="4" w:space="0"/>
            </w:tcBorders>
            <w:shd w:val="clear" w:color="auto" w:fill="auto"/>
            <w:noWrap/>
            <w:vAlign w:val="center"/>
          </w:tcPr>
          <w:p w14:paraId="2422C6D7">
            <w:pPr>
              <w:rPr>
                <w:rFonts w:ascii="Times New Roman" w:hAnsi="Times New Roman"/>
                <w:kern w:val="0"/>
              </w:rPr>
            </w:pPr>
            <w:r>
              <w:rPr>
                <w:rFonts w:ascii="Times New Roman" w:hAnsi="Times New Roman"/>
                <w:kern w:val="0"/>
              </w:rPr>
              <w:t>包含打印送货单，单证费及系统维护费用</w:t>
            </w:r>
          </w:p>
        </w:tc>
      </w:tr>
    </w:tbl>
    <w:p w14:paraId="4D02E47B">
      <w:pPr>
        <w:spacing w:before="156" w:beforeLines="50" w:after="156" w:afterLines="50" w:line="480" w:lineRule="exact"/>
        <w:rPr>
          <w:rFonts w:hint="eastAsia" w:ascii="Times New Roman" w:hAnsi="Times New Roman" w:eastAsia="微软雅黑"/>
          <w:kern w:val="10"/>
          <w:sz w:val="24"/>
          <w:lang w:eastAsia="zh-CN"/>
        </w:rPr>
      </w:pPr>
      <w:r>
        <w:rPr>
          <w:rFonts w:ascii="Times New Roman" w:hAnsi="Times New Roman"/>
          <w:b/>
          <w:sz w:val="24"/>
        </w:rPr>
        <w:t>备注：</w:t>
      </w:r>
      <w:r>
        <w:rPr>
          <w:rFonts w:ascii="Times New Roman" w:hAnsi="Times New Roman"/>
          <w:kern w:val="10"/>
          <w:sz w:val="24"/>
        </w:rPr>
        <w:t>仓储服务报价包含国家规定的6%增值税服务发票，若国家税率调整，则按国家标准执行</w:t>
      </w:r>
      <w:r>
        <w:rPr>
          <w:rFonts w:hint="eastAsia" w:ascii="Times New Roman" w:hAnsi="Times New Roman"/>
          <w:kern w:val="10"/>
          <w:sz w:val="24"/>
          <w:lang w:eastAsia="zh-CN"/>
        </w:rPr>
        <w:t>。</w:t>
      </w:r>
    </w:p>
    <w:p w14:paraId="6C3B878A">
      <w:pPr>
        <w:rPr>
          <w:rFonts w:ascii="Times New Roman" w:hAnsi="Times New Roman" w:eastAsiaTheme="minorEastAsia"/>
          <w:b/>
          <w:sz w:val="24"/>
          <w:szCs w:val="24"/>
        </w:rPr>
      </w:pPr>
      <w:r>
        <w:rPr>
          <w:rFonts w:ascii="Times New Roman" w:hAnsi="Times New Roman" w:eastAsiaTheme="minorEastAsia"/>
          <w:b/>
          <w:sz w:val="24"/>
          <w:szCs w:val="24"/>
        </w:rPr>
        <w:br w:type="page"/>
      </w:r>
    </w:p>
    <w:p w14:paraId="3F856E53">
      <w:pPr>
        <w:spacing w:line="360" w:lineRule="auto"/>
        <w:jc w:val="center"/>
        <w:rPr>
          <w:rFonts w:ascii="Times New Roman" w:hAnsi="Times New Roman"/>
          <w:b/>
          <w:sz w:val="24"/>
        </w:rPr>
      </w:pPr>
      <w:r>
        <w:rPr>
          <w:rFonts w:ascii="Times New Roman" w:hAnsi="Times New Roman"/>
          <w:b/>
          <w:sz w:val="24"/>
        </w:rPr>
        <w:t>运输产品价格表</w:t>
      </w:r>
    </w:p>
    <w:tbl>
      <w:tblPr>
        <w:tblStyle w:val="12"/>
        <w:tblW w:w="5880" w:type="dxa"/>
        <w:jc w:val="center"/>
        <w:tblLayout w:type="autofit"/>
        <w:tblCellMar>
          <w:top w:w="0" w:type="dxa"/>
          <w:left w:w="108" w:type="dxa"/>
          <w:bottom w:w="0" w:type="dxa"/>
          <w:right w:w="108" w:type="dxa"/>
        </w:tblCellMar>
      </w:tblPr>
      <w:tblGrid>
        <w:gridCol w:w="1080"/>
        <w:gridCol w:w="1080"/>
        <w:gridCol w:w="1400"/>
        <w:gridCol w:w="2320"/>
      </w:tblGrid>
      <w:tr w14:paraId="2110F1FC">
        <w:tblPrEx>
          <w:tblCellMar>
            <w:top w:w="0" w:type="dxa"/>
            <w:left w:w="108" w:type="dxa"/>
            <w:bottom w:w="0" w:type="dxa"/>
            <w:right w:w="108" w:type="dxa"/>
          </w:tblCellMar>
        </w:tblPrEx>
        <w:trPr>
          <w:trHeight w:val="431"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8EBFA">
            <w:pPr>
              <w:jc w:val="center"/>
              <w:rPr>
                <w:rFonts w:ascii="Times New Roman" w:hAnsi="Times New Roman"/>
                <w:b/>
                <w:color w:val="000000"/>
                <w:kern w:val="0"/>
              </w:rPr>
            </w:pPr>
            <w:r>
              <w:rPr>
                <w:rFonts w:ascii="Times New Roman" w:hAnsi="Times New Roman"/>
                <w:b/>
                <w:color w:val="000000"/>
                <w:kern w:val="0"/>
              </w:rPr>
              <w:t>始发地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69AA26D">
            <w:pPr>
              <w:jc w:val="center"/>
              <w:rPr>
                <w:rFonts w:ascii="Times New Roman" w:hAnsi="Times New Roman"/>
                <w:b/>
                <w:color w:val="000000"/>
                <w:kern w:val="0"/>
              </w:rPr>
            </w:pPr>
            <w:r>
              <w:rPr>
                <w:rFonts w:ascii="Times New Roman" w:hAnsi="Times New Roman"/>
                <w:b/>
                <w:color w:val="000000"/>
                <w:kern w:val="0"/>
              </w:rPr>
              <w:t>目的地</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35D1F631">
            <w:pPr>
              <w:jc w:val="center"/>
              <w:rPr>
                <w:rFonts w:ascii="Times New Roman" w:hAnsi="Times New Roman"/>
                <w:b/>
                <w:color w:val="000000"/>
                <w:kern w:val="0"/>
              </w:rPr>
            </w:pPr>
            <w:r>
              <w:rPr>
                <w:rFonts w:ascii="Times New Roman" w:hAnsi="Times New Roman"/>
                <w:b/>
                <w:color w:val="000000"/>
                <w:kern w:val="0"/>
              </w:rPr>
              <w:t>重量区间</w:t>
            </w:r>
          </w:p>
        </w:tc>
        <w:tc>
          <w:tcPr>
            <w:tcW w:w="2320" w:type="dxa"/>
            <w:tcBorders>
              <w:top w:val="single" w:color="auto" w:sz="4" w:space="0"/>
              <w:left w:val="nil"/>
              <w:bottom w:val="single" w:color="auto" w:sz="4" w:space="0"/>
              <w:right w:val="single" w:color="auto" w:sz="4" w:space="0"/>
            </w:tcBorders>
            <w:shd w:val="clear" w:color="auto" w:fill="auto"/>
            <w:noWrap/>
            <w:vAlign w:val="center"/>
          </w:tcPr>
          <w:p w14:paraId="27505632">
            <w:pPr>
              <w:jc w:val="center"/>
              <w:rPr>
                <w:rFonts w:ascii="Times New Roman" w:hAnsi="Times New Roman"/>
                <w:b/>
                <w:color w:val="000000"/>
                <w:kern w:val="0"/>
              </w:rPr>
            </w:pPr>
            <w:r>
              <w:rPr>
                <w:rFonts w:ascii="Times New Roman" w:hAnsi="Times New Roman"/>
                <w:b/>
                <w:color w:val="000000"/>
                <w:kern w:val="0"/>
              </w:rPr>
              <w:t>单价（元/吨）</w:t>
            </w:r>
          </w:p>
        </w:tc>
      </w:tr>
      <w:tr w14:paraId="5243AC46">
        <w:tblPrEx>
          <w:tblCellMar>
            <w:top w:w="0" w:type="dxa"/>
            <w:left w:w="108" w:type="dxa"/>
            <w:bottom w:w="0" w:type="dxa"/>
            <w:right w:w="108" w:type="dxa"/>
          </w:tblCellMar>
        </w:tblPrEx>
        <w:trPr>
          <w:trHeight w:val="39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38CE6BA">
            <w:pPr>
              <w:jc w:val="center"/>
              <w:rPr>
                <w:rFonts w:ascii="Times New Roman" w:hAnsi="Times New Roman"/>
                <w:color w:val="000000"/>
                <w:kern w:val="0"/>
                <w:sz w:val="22"/>
              </w:rPr>
            </w:pPr>
            <w:r>
              <w:rPr>
                <w:rFonts w:ascii="Times New Roman" w:hAnsi="Times New Roman"/>
                <w:color w:val="000000"/>
                <w:kern w:val="0"/>
                <w:sz w:val="22"/>
              </w:rPr>
              <w:t>···</w:t>
            </w:r>
          </w:p>
        </w:tc>
        <w:tc>
          <w:tcPr>
            <w:tcW w:w="1080" w:type="dxa"/>
            <w:tcBorders>
              <w:top w:val="nil"/>
              <w:left w:val="nil"/>
              <w:bottom w:val="single" w:color="auto" w:sz="4" w:space="0"/>
              <w:right w:val="single" w:color="auto" w:sz="4" w:space="0"/>
            </w:tcBorders>
            <w:shd w:val="clear" w:color="auto" w:fill="auto"/>
            <w:noWrap/>
            <w:vAlign w:val="center"/>
          </w:tcPr>
          <w:p w14:paraId="611034C6">
            <w:pPr>
              <w:jc w:val="center"/>
              <w:rPr>
                <w:rFonts w:ascii="Times New Roman" w:hAnsi="Times New Roman"/>
                <w:color w:val="000000"/>
                <w:kern w:val="0"/>
                <w:sz w:val="22"/>
              </w:rPr>
            </w:pPr>
            <w:r>
              <w:rPr>
                <w:rFonts w:ascii="Times New Roman" w:hAnsi="Times New Roman"/>
                <w:color w:val="000000"/>
                <w:kern w:val="0"/>
                <w:sz w:val="22"/>
              </w:rPr>
              <w:t>···</w:t>
            </w:r>
          </w:p>
        </w:tc>
        <w:tc>
          <w:tcPr>
            <w:tcW w:w="1400" w:type="dxa"/>
            <w:tcBorders>
              <w:top w:val="nil"/>
              <w:left w:val="nil"/>
              <w:bottom w:val="single" w:color="auto" w:sz="4" w:space="0"/>
              <w:right w:val="single" w:color="auto" w:sz="4" w:space="0"/>
            </w:tcBorders>
            <w:shd w:val="clear" w:color="auto" w:fill="auto"/>
            <w:noWrap/>
            <w:vAlign w:val="center"/>
          </w:tcPr>
          <w:p w14:paraId="6D8FFDD9">
            <w:pPr>
              <w:jc w:val="center"/>
              <w:rPr>
                <w:rFonts w:ascii="Times New Roman" w:hAnsi="Times New Roman"/>
                <w:color w:val="000000"/>
                <w:kern w:val="0"/>
                <w:sz w:val="22"/>
              </w:rPr>
            </w:pPr>
            <w:r>
              <w:rPr>
                <w:rFonts w:ascii="Times New Roman" w:hAnsi="Times New Roman"/>
                <w:color w:val="000000"/>
                <w:kern w:val="0"/>
                <w:sz w:val="22"/>
              </w:rPr>
              <w:t>···</w:t>
            </w:r>
          </w:p>
        </w:tc>
        <w:tc>
          <w:tcPr>
            <w:tcW w:w="2320" w:type="dxa"/>
            <w:tcBorders>
              <w:top w:val="nil"/>
              <w:left w:val="nil"/>
              <w:bottom w:val="single" w:color="auto" w:sz="4" w:space="0"/>
              <w:right w:val="single" w:color="auto" w:sz="4" w:space="0"/>
            </w:tcBorders>
            <w:shd w:val="clear" w:color="auto" w:fill="auto"/>
            <w:noWrap/>
            <w:vAlign w:val="center"/>
          </w:tcPr>
          <w:p w14:paraId="45DE1B56">
            <w:pPr>
              <w:jc w:val="center"/>
              <w:rPr>
                <w:rFonts w:ascii="Times New Roman" w:hAnsi="Times New Roman"/>
                <w:color w:val="000000"/>
                <w:kern w:val="0"/>
                <w:sz w:val="22"/>
              </w:rPr>
            </w:pPr>
            <w:r>
              <w:rPr>
                <w:rFonts w:ascii="Times New Roman" w:hAnsi="Times New Roman"/>
                <w:color w:val="000000"/>
                <w:kern w:val="0"/>
                <w:sz w:val="22"/>
              </w:rPr>
              <w:t>···</w:t>
            </w:r>
          </w:p>
        </w:tc>
      </w:tr>
      <w:tr w14:paraId="6D7E8694">
        <w:tblPrEx>
          <w:tblCellMar>
            <w:top w:w="0" w:type="dxa"/>
            <w:left w:w="108" w:type="dxa"/>
            <w:bottom w:w="0" w:type="dxa"/>
            <w:right w:w="108" w:type="dxa"/>
          </w:tblCellMar>
        </w:tblPrEx>
        <w:trPr>
          <w:trHeight w:val="44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A8200A2">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68A59A8C">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36046267">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2D993579">
            <w:pPr>
              <w:jc w:val="center"/>
              <w:rPr>
                <w:rFonts w:ascii="Times New Roman" w:hAnsi="Times New Roman"/>
                <w:color w:val="000000"/>
                <w:kern w:val="0"/>
                <w:sz w:val="22"/>
              </w:rPr>
            </w:pPr>
          </w:p>
        </w:tc>
      </w:tr>
      <w:tr w14:paraId="3A238BED">
        <w:tblPrEx>
          <w:tblCellMar>
            <w:top w:w="0" w:type="dxa"/>
            <w:left w:w="108" w:type="dxa"/>
            <w:bottom w:w="0" w:type="dxa"/>
            <w:right w:w="108" w:type="dxa"/>
          </w:tblCellMar>
        </w:tblPrEx>
        <w:trPr>
          <w:trHeight w:val="54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185CAB2">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2F11D5DB">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102DF986">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4F17169E">
            <w:pPr>
              <w:jc w:val="center"/>
              <w:rPr>
                <w:rFonts w:ascii="Times New Roman" w:hAnsi="Times New Roman"/>
                <w:color w:val="000000"/>
                <w:kern w:val="0"/>
                <w:sz w:val="22"/>
              </w:rPr>
            </w:pPr>
          </w:p>
        </w:tc>
      </w:tr>
    </w:tbl>
    <w:p w14:paraId="28916856">
      <w:pPr>
        <w:spacing w:before="156" w:beforeLines="50" w:after="156" w:line="480" w:lineRule="exact"/>
        <w:rPr>
          <w:rFonts w:ascii="Times New Roman" w:hAnsi="Times New Roman"/>
          <w:b/>
          <w:sz w:val="28"/>
        </w:rPr>
      </w:pPr>
    </w:p>
    <w:p w14:paraId="15891F39">
      <w:pPr>
        <w:spacing w:before="156" w:beforeLines="50" w:after="156" w:line="480" w:lineRule="exact"/>
        <w:jc w:val="center"/>
        <w:rPr>
          <w:rFonts w:ascii="Times New Roman" w:hAnsi="Times New Roman"/>
          <w:b/>
          <w:sz w:val="24"/>
        </w:rPr>
      </w:pPr>
      <w:r>
        <w:rPr>
          <w:rFonts w:ascii="Times New Roman" w:hAnsi="Times New Roman"/>
          <w:b/>
          <w:sz w:val="24"/>
        </w:rPr>
        <w:t>运输附加服务价格表</w:t>
      </w:r>
    </w:p>
    <w:tbl>
      <w:tblPr>
        <w:tblStyle w:val="12"/>
        <w:tblW w:w="9166" w:type="dxa"/>
        <w:jc w:val="center"/>
        <w:tblLayout w:type="autofit"/>
        <w:tblCellMar>
          <w:top w:w="0" w:type="dxa"/>
          <w:left w:w="108" w:type="dxa"/>
          <w:bottom w:w="0" w:type="dxa"/>
          <w:right w:w="108" w:type="dxa"/>
        </w:tblCellMar>
      </w:tblPr>
      <w:tblGrid>
        <w:gridCol w:w="2526"/>
        <w:gridCol w:w="3867"/>
        <w:gridCol w:w="2773"/>
      </w:tblGrid>
      <w:tr w14:paraId="046C6099">
        <w:tblPrEx>
          <w:tblCellMar>
            <w:top w:w="0" w:type="dxa"/>
            <w:left w:w="108" w:type="dxa"/>
            <w:bottom w:w="0" w:type="dxa"/>
            <w:right w:w="108" w:type="dxa"/>
          </w:tblCellMar>
        </w:tblPrEx>
        <w:trPr>
          <w:trHeight w:val="273"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4BACC6"/>
            <w:noWrap/>
            <w:vAlign w:val="center"/>
          </w:tcPr>
          <w:p w14:paraId="7EE64511">
            <w:pPr>
              <w:jc w:val="center"/>
              <w:rPr>
                <w:rFonts w:ascii="Times New Roman" w:hAnsi="Times New Roman"/>
                <w:b/>
                <w:color w:val="FFFFFF"/>
                <w:kern w:val="0"/>
              </w:rPr>
            </w:pPr>
            <w:r>
              <w:rPr>
                <w:rFonts w:ascii="Times New Roman" w:hAnsi="Times New Roman"/>
                <w:b/>
                <w:color w:val="FFFFFF"/>
                <w:kern w:val="0"/>
              </w:rPr>
              <w:t>附加服务名称</w:t>
            </w:r>
          </w:p>
        </w:tc>
        <w:tc>
          <w:tcPr>
            <w:tcW w:w="3867" w:type="dxa"/>
            <w:tcBorders>
              <w:top w:val="single" w:color="auto" w:sz="4" w:space="0"/>
              <w:left w:val="nil"/>
              <w:bottom w:val="single" w:color="auto" w:sz="4" w:space="0"/>
              <w:right w:val="single" w:color="auto" w:sz="4" w:space="0"/>
            </w:tcBorders>
            <w:shd w:val="clear" w:color="auto" w:fill="4BACC6"/>
            <w:noWrap/>
            <w:vAlign w:val="center"/>
          </w:tcPr>
          <w:p w14:paraId="060DC1A8">
            <w:pPr>
              <w:jc w:val="center"/>
              <w:rPr>
                <w:rFonts w:ascii="Times New Roman" w:hAnsi="Times New Roman"/>
                <w:b/>
                <w:color w:val="FFFFFF"/>
                <w:kern w:val="0"/>
              </w:rPr>
            </w:pPr>
            <w:r>
              <w:rPr>
                <w:rFonts w:ascii="Times New Roman" w:hAnsi="Times New Roman"/>
                <w:b/>
                <w:color w:val="FFFFFF"/>
                <w:kern w:val="0"/>
              </w:rPr>
              <w:t>收费方式</w:t>
            </w:r>
          </w:p>
        </w:tc>
        <w:tc>
          <w:tcPr>
            <w:tcW w:w="2773" w:type="dxa"/>
            <w:tcBorders>
              <w:top w:val="single" w:color="auto" w:sz="4" w:space="0"/>
              <w:left w:val="nil"/>
              <w:bottom w:val="single" w:color="auto" w:sz="4" w:space="0"/>
              <w:right w:val="single" w:color="auto" w:sz="4" w:space="0"/>
            </w:tcBorders>
            <w:shd w:val="clear" w:color="auto" w:fill="4BACC6"/>
            <w:noWrap/>
            <w:vAlign w:val="center"/>
          </w:tcPr>
          <w:p w14:paraId="6EDB4AFC">
            <w:pPr>
              <w:jc w:val="center"/>
              <w:rPr>
                <w:rFonts w:ascii="Times New Roman" w:hAnsi="Times New Roman"/>
                <w:b/>
                <w:color w:val="FFFFFF"/>
                <w:kern w:val="0"/>
              </w:rPr>
            </w:pPr>
            <w:r>
              <w:rPr>
                <w:rFonts w:ascii="Times New Roman" w:hAnsi="Times New Roman"/>
                <w:b/>
                <w:color w:val="FFFFFF"/>
                <w:kern w:val="0"/>
              </w:rPr>
              <w:t>备注</w:t>
            </w:r>
          </w:p>
        </w:tc>
      </w:tr>
      <w:tr w14:paraId="10F45533">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09B025B6">
            <w:pPr>
              <w:spacing w:line="360" w:lineRule="auto"/>
              <w:jc w:val="center"/>
              <w:rPr>
                <w:rFonts w:ascii="Times New Roman" w:hAnsi="Times New Roman"/>
                <w:kern w:val="0"/>
              </w:rPr>
            </w:pPr>
            <w:r>
              <w:rPr>
                <w:rFonts w:ascii="Times New Roman" w:hAnsi="Times New Roman"/>
                <w:kern w:val="0"/>
              </w:rPr>
              <w:t>签回单</w:t>
            </w:r>
          </w:p>
        </w:tc>
        <w:tc>
          <w:tcPr>
            <w:tcW w:w="3867" w:type="dxa"/>
            <w:tcBorders>
              <w:top w:val="nil"/>
              <w:left w:val="nil"/>
              <w:bottom w:val="single" w:color="auto" w:sz="4" w:space="0"/>
              <w:right w:val="single" w:color="auto" w:sz="4" w:space="0"/>
            </w:tcBorders>
            <w:noWrap/>
            <w:vAlign w:val="center"/>
          </w:tcPr>
          <w:p w14:paraId="11C8DADA">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元/单</w:t>
            </w:r>
          </w:p>
        </w:tc>
        <w:tc>
          <w:tcPr>
            <w:tcW w:w="2773" w:type="dxa"/>
            <w:tcBorders>
              <w:top w:val="nil"/>
              <w:left w:val="nil"/>
              <w:bottom w:val="single" w:color="auto" w:sz="4" w:space="0"/>
              <w:right w:val="single" w:color="auto" w:sz="4" w:space="0"/>
            </w:tcBorders>
            <w:noWrap/>
            <w:vAlign w:val="center"/>
          </w:tcPr>
          <w:p w14:paraId="4CE6E35B">
            <w:pPr>
              <w:spacing w:line="360" w:lineRule="auto"/>
              <w:jc w:val="center"/>
              <w:rPr>
                <w:rFonts w:ascii="Times New Roman" w:hAnsi="Times New Roman"/>
                <w:color w:val="000000"/>
                <w:kern w:val="0"/>
              </w:rPr>
            </w:pPr>
            <w:r>
              <w:rPr>
                <w:rFonts w:ascii="Times New Roman" w:hAnsi="Times New Roman"/>
                <w:color w:val="000000"/>
                <w:kern w:val="0"/>
              </w:rPr>
              <w:t>拍照反馈免收费</w:t>
            </w:r>
          </w:p>
        </w:tc>
      </w:tr>
      <w:tr w14:paraId="03FE4A7D">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7B985A9F">
            <w:pPr>
              <w:spacing w:line="360" w:lineRule="auto"/>
              <w:jc w:val="center"/>
              <w:rPr>
                <w:rFonts w:ascii="Times New Roman" w:hAnsi="Times New Roman"/>
                <w:kern w:val="0"/>
              </w:rPr>
            </w:pPr>
            <w:r>
              <w:rPr>
                <w:rFonts w:ascii="Times New Roman" w:hAnsi="Times New Roman"/>
                <w:kern w:val="0"/>
              </w:rPr>
              <w:t>等待制冷费</w:t>
            </w:r>
          </w:p>
        </w:tc>
        <w:tc>
          <w:tcPr>
            <w:tcW w:w="3867" w:type="dxa"/>
            <w:tcBorders>
              <w:top w:val="nil"/>
              <w:left w:val="nil"/>
              <w:bottom w:val="single" w:color="auto" w:sz="4" w:space="0"/>
              <w:right w:val="single" w:color="auto" w:sz="4" w:space="0"/>
            </w:tcBorders>
            <w:noWrap/>
            <w:vAlign w:val="center"/>
          </w:tcPr>
          <w:p w14:paraId="5E281F47">
            <w:pPr>
              <w:spacing w:line="360" w:lineRule="auto"/>
              <w:jc w:val="center"/>
              <w:rPr>
                <w:rFonts w:ascii="Times New Roman" w:hAnsi="Times New Roman"/>
                <w:color w:val="000000"/>
                <w:kern w:val="0"/>
              </w:rPr>
            </w:pPr>
            <w:r>
              <w:rPr>
                <w:rFonts w:ascii="Times New Roman" w:hAnsi="Times New Roman"/>
                <w:color w:val="000000"/>
                <w:kern w:val="0"/>
              </w:rPr>
              <w:t xml:space="preserve">  </w:t>
            </w:r>
            <w:r>
              <w:rPr>
                <w:rFonts w:ascii="Times New Roman" w:hAnsi="Times New Roman"/>
                <w:color w:val="000000"/>
                <w:kern w:val="0"/>
                <w:u w:val="single"/>
              </w:rPr>
              <w:t xml:space="preserve">    </w:t>
            </w:r>
            <w:r>
              <w:rPr>
                <w:rFonts w:ascii="Times New Roman" w:hAnsi="Times New Roman"/>
                <w:color w:val="000000"/>
                <w:kern w:val="0"/>
              </w:rPr>
              <w:t xml:space="preserve"> 元/小时</w:t>
            </w:r>
          </w:p>
        </w:tc>
        <w:tc>
          <w:tcPr>
            <w:tcW w:w="2773" w:type="dxa"/>
            <w:tcBorders>
              <w:top w:val="nil"/>
              <w:left w:val="nil"/>
              <w:bottom w:val="single" w:color="auto" w:sz="4" w:space="0"/>
              <w:right w:val="single" w:color="auto" w:sz="4" w:space="0"/>
            </w:tcBorders>
            <w:noWrap/>
            <w:vAlign w:val="center"/>
          </w:tcPr>
          <w:p w14:paraId="397A3B54">
            <w:pPr>
              <w:spacing w:line="360" w:lineRule="auto"/>
              <w:jc w:val="center"/>
              <w:rPr>
                <w:rFonts w:ascii="Times New Roman" w:hAnsi="Times New Roman"/>
                <w:color w:val="000000"/>
                <w:kern w:val="0"/>
              </w:rPr>
            </w:pPr>
          </w:p>
        </w:tc>
      </w:tr>
      <w:tr w14:paraId="27B8028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8FA1DC0">
            <w:pPr>
              <w:spacing w:line="360" w:lineRule="auto"/>
              <w:jc w:val="center"/>
              <w:rPr>
                <w:rFonts w:ascii="Times New Roman" w:hAnsi="Times New Roman"/>
                <w:kern w:val="0"/>
              </w:rPr>
            </w:pPr>
            <w:r>
              <w:rPr>
                <w:rFonts w:ascii="Times New Roman" w:hAnsi="Times New Roman"/>
                <w:kern w:val="0"/>
              </w:rPr>
              <w:t>超时等待费</w:t>
            </w:r>
          </w:p>
        </w:tc>
        <w:tc>
          <w:tcPr>
            <w:tcW w:w="3867" w:type="dxa"/>
            <w:tcBorders>
              <w:top w:val="nil"/>
              <w:left w:val="nil"/>
              <w:bottom w:val="single" w:color="auto" w:sz="4" w:space="0"/>
              <w:right w:val="single" w:color="auto" w:sz="4" w:space="0"/>
            </w:tcBorders>
            <w:noWrap/>
            <w:vAlign w:val="center"/>
          </w:tcPr>
          <w:p w14:paraId="039750D8">
            <w:pPr>
              <w:spacing w:line="360" w:lineRule="auto"/>
              <w:jc w:val="center"/>
              <w:rPr>
                <w:rFonts w:ascii="Times New Roman" w:hAnsi="Times New Roman"/>
                <w:color w:val="000000"/>
                <w:kern w:val="0"/>
              </w:rPr>
            </w:pPr>
            <w:r>
              <w:rPr>
                <w:rFonts w:ascii="Times New Roman" w:hAnsi="Times New Roman"/>
                <w:color w:val="000000"/>
                <w:kern w:val="0"/>
              </w:rPr>
              <w:t xml:space="preserve"> </w:t>
            </w:r>
            <w:r>
              <w:rPr>
                <w:rFonts w:ascii="Times New Roman" w:hAnsi="Times New Roman"/>
                <w:color w:val="000000"/>
                <w:kern w:val="0"/>
                <w:u w:val="single"/>
              </w:rPr>
              <w:t xml:space="preserve">    </w:t>
            </w:r>
            <w:r>
              <w:rPr>
                <w:rFonts w:ascii="Times New Roman" w:hAnsi="Times New Roman"/>
                <w:color w:val="000000"/>
                <w:kern w:val="0"/>
              </w:rPr>
              <w:t xml:space="preserve"> 元/小时</w:t>
            </w:r>
          </w:p>
        </w:tc>
        <w:tc>
          <w:tcPr>
            <w:tcW w:w="2773" w:type="dxa"/>
            <w:tcBorders>
              <w:top w:val="nil"/>
              <w:left w:val="nil"/>
              <w:bottom w:val="single" w:color="auto" w:sz="4" w:space="0"/>
              <w:right w:val="single" w:color="auto" w:sz="4" w:space="0"/>
            </w:tcBorders>
            <w:noWrap/>
            <w:vAlign w:val="center"/>
          </w:tcPr>
          <w:p w14:paraId="7E39480A">
            <w:pPr>
              <w:spacing w:line="360" w:lineRule="auto"/>
              <w:jc w:val="center"/>
              <w:rPr>
                <w:rFonts w:ascii="Times New Roman" w:hAnsi="Times New Roman"/>
                <w:color w:val="000000"/>
                <w:kern w:val="0"/>
              </w:rPr>
            </w:pPr>
          </w:p>
        </w:tc>
      </w:tr>
      <w:tr w14:paraId="56CAB0EC">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462145A9">
            <w:pPr>
              <w:spacing w:line="360" w:lineRule="auto"/>
              <w:jc w:val="center"/>
              <w:rPr>
                <w:rFonts w:ascii="Times New Roman" w:hAnsi="Times New Roman"/>
                <w:kern w:val="0"/>
              </w:rPr>
            </w:pPr>
            <w:r>
              <w:rPr>
                <w:rFonts w:ascii="Times New Roman" w:hAnsi="Times New Roman"/>
                <w:kern w:val="0"/>
              </w:rPr>
              <w:t>提货服务费</w:t>
            </w:r>
          </w:p>
        </w:tc>
        <w:tc>
          <w:tcPr>
            <w:tcW w:w="3867" w:type="dxa"/>
            <w:tcBorders>
              <w:top w:val="nil"/>
              <w:left w:val="nil"/>
              <w:bottom w:val="single" w:color="auto" w:sz="4" w:space="0"/>
              <w:right w:val="single" w:color="auto" w:sz="4" w:space="0"/>
            </w:tcBorders>
            <w:noWrap/>
            <w:vAlign w:val="center"/>
          </w:tcPr>
          <w:p w14:paraId="2704E139">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 xml:space="preserve"> 元/吨</w:t>
            </w:r>
          </w:p>
        </w:tc>
        <w:tc>
          <w:tcPr>
            <w:tcW w:w="2773" w:type="dxa"/>
            <w:tcBorders>
              <w:top w:val="nil"/>
              <w:left w:val="nil"/>
              <w:bottom w:val="single" w:color="auto" w:sz="4" w:space="0"/>
              <w:right w:val="single" w:color="auto" w:sz="4" w:space="0"/>
            </w:tcBorders>
            <w:noWrap/>
            <w:vAlign w:val="center"/>
          </w:tcPr>
          <w:p w14:paraId="201115A0">
            <w:pPr>
              <w:spacing w:line="360" w:lineRule="auto"/>
              <w:jc w:val="center"/>
              <w:rPr>
                <w:rFonts w:ascii="Times New Roman" w:hAnsi="Times New Roman"/>
                <w:color w:val="000000"/>
                <w:kern w:val="0"/>
              </w:rPr>
            </w:pPr>
            <w:r>
              <w:rPr>
                <w:rFonts w:ascii="Times New Roman" w:hAnsi="Times New Roman"/>
                <w:color w:val="000000"/>
                <w:kern w:val="0"/>
              </w:rPr>
              <w:t>提货最低收费200元</w:t>
            </w:r>
          </w:p>
        </w:tc>
      </w:tr>
      <w:tr w14:paraId="5E1678C4">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17AEE32">
            <w:pPr>
              <w:spacing w:line="360" w:lineRule="auto"/>
              <w:jc w:val="center"/>
              <w:rPr>
                <w:rFonts w:ascii="Times New Roman" w:hAnsi="Times New Roman"/>
                <w:kern w:val="0"/>
              </w:rPr>
            </w:pPr>
            <w:r>
              <w:rPr>
                <w:rFonts w:ascii="Times New Roman" w:hAnsi="Times New Roman"/>
                <w:kern w:val="0"/>
              </w:rPr>
              <w:t>送货服务费</w:t>
            </w:r>
          </w:p>
        </w:tc>
        <w:tc>
          <w:tcPr>
            <w:tcW w:w="3867" w:type="dxa"/>
            <w:tcBorders>
              <w:top w:val="nil"/>
              <w:left w:val="nil"/>
              <w:bottom w:val="single" w:color="auto" w:sz="4" w:space="0"/>
              <w:right w:val="single" w:color="auto" w:sz="4" w:space="0"/>
            </w:tcBorders>
            <w:noWrap/>
            <w:vAlign w:val="center"/>
          </w:tcPr>
          <w:p w14:paraId="3C495AEC">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元/吨</w:t>
            </w:r>
          </w:p>
        </w:tc>
        <w:tc>
          <w:tcPr>
            <w:tcW w:w="2773" w:type="dxa"/>
            <w:tcBorders>
              <w:top w:val="nil"/>
              <w:left w:val="nil"/>
              <w:bottom w:val="single" w:color="auto" w:sz="4" w:space="0"/>
              <w:right w:val="single" w:color="auto" w:sz="4" w:space="0"/>
            </w:tcBorders>
            <w:noWrap/>
            <w:vAlign w:val="center"/>
          </w:tcPr>
          <w:p w14:paraId="46090AB3">
            <w:pPr>
              <w:spacing w:line="360" w:lineRule="auto"/>
              <w:jc w:val="center"/>
              <w:rPr>
                <w:rFonts w:ascii="Times New Roman" w:hAnsi="Times New Roman"/>
                <w:color w:val="000000"/>
                <w:kern w:val="0"/>
              </w:rPr>
            </w:pPr>
            <w:r>
              <w:rPr>
                <w:rFonts w:ascii="Times New Roman" w:hAnsi="Times New Roman"/>
                <w:color w:val="000000"/>
                <w:kern w:val="0"/>
              </w:rPr>
              <w:t>送货最低收费200元</w:t>
            </w:r>
          </w:p>
        </w:tc>
      </w:tr>
      <w:tr w14:paraId="4C6A61BA">
        <w:tblPrEx>
          <w:tblCellMar>
            <w:top w:w="0" w:type="dxa"/>
            <w:left w:w="108" w:type="dxa"/>
            <w:bottom w:w="0" w:type="dxa"/>
            <w:right w:w="108" w:type="dxa"/>
          </w:tblCellMar>
        </w:tblPrEx>
        <w:trPr>
          <w:trHeight w:val="746" w:hRule="atLeast"/>
          <w:jc w:val="center"/>
        </w:trPr>
        <w:tc>
          <w:tcPr>
            <w:tcW w:w="2526" w:type="dxa"/>
            <w:tcBorders>
              <w:top w:val="nil"/>
              <w:left w:val="single" w:color="auto" w:sz="4" w:space="0"/>
              <w:bottom w:val="single" w:color="auto" w:sz="4" w:space="0"/>
              <w:right w:val="single" w:color="auto" w:sz="4" w:space="0"/>
            </w:tcBorders>
            <w:noWrap/>
            <w:vAlign w:val="center"/>
          </w:tcPr>
          <w:p w14:paraId="23C36E40">
            <w:pPr>
              <w:spacing w:line="360" w:lineRule="auto"/>
              <w:jc w:val="center"/>
              <w:rPr>
                <w:rFonts w:ascii="Times New Roman" w:hAnsi="Times New Roman"/>
                <w:kern w:val="0"/>
              </w:rPr>
            </w:pPr>
            <w:r>
              <w:rPr>
                <w:rFonts w:ascii="Times New Roman" w:hAnsi="Times New Roman"/>
                <w:kern w:val="0"/>
              </w:rPr>
              <w:t>装卸货服务费</w:t>
            </w:r>
          </w:p>
        </w:tc>
        <w:tc>
          <w:tcPr>
            <w:tcW w:w="3867" w:type="dxa"/>
            <w:tcBorders>
              <w:top w:val="nil"/>
              <w:left w:val="nil"/>
              <w:bottom w:val="single" w:color="auto" w:sz="4" w:space="0"/>
              <w:right w:val="single" w:color="auto" w:sz="4" w:space="0"/>
            </w:tcBorders>
            <w:noWrap/>
            <w:vAlign w:val="center"/>
          </w:tcPr>
          <w:p w14:paraId="29C5F47D">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元/吨</w:t>
            </w:r>
          </w:p>
        </w:tc>
        <w:tc>
          <w:tcPr>
            <w:tcW w:w="2773" w:type="dxa"/>
            <w:tcBorders>
              <w:top w:val="nil"/>
              <w:left w:val="nil"/>
              <w:bottom w:val="single" w:color="auto" w:sz="4" w:space="0"/>
              <w:right w:val="single" w:color="auto" w:sz="4" w:space="0"/>
            </w:tcBorders>
            <w:noWrap/>
            <w:vAlign w:val="center"/>
          </w:tcPr>
          <w:p w14:paraId="161F9414">
            <w:pPr>
              <w:spacing w:line="360" w:lineRule="auto"/>
              <w:ind w:left="420" w:leftChars="200"/>
              <w:jc w:val="center"/>
              <w:rPr>
                <w:rFonts w:ascii="Times New Roman" w:hAnsi="Times New Roman"/>
                <w:color w:val="000000"/>
                <w:kern w:val="0"/>
              </w:rPr>
            </w:pPr>
            <w:r>
              <w:rPr>
                <w:rFonts w:ascii="Times New Roman" w:hAnsi="Times New Roman"/>
                <w:color w:val="000000"/>
                <w:kern w:val="0"/>
              </w:rPr>
              <w:t>若只使用装货或卸货，</w:t>
            </w:r>
          </w:p>
          <w:p w14:paraId="1708E899">
            <w:pPr>
              <w:spacing w:line="360" w:lineRule="auto"/>
              <w:ind w:left="420" w:leftChars="200"/>
              <w:jc w:val="center"/>
              <w:rPr>
                <w:rFonts w:ascii="Times New Roman" w:hAnsi="Times New Roman"/>
                <w:color w:val="000000"/>
                <w:kern w:val="0"/>
              </w:rPr>
            </w:pPr>
            <w:r>
              <w:rPr>
                <w:rFonts w:ascii="Times New Roman" w:hAnsi="Times New Roman"/>
                <w:color w:val="000000"/>
                <w:kern w:val="0"/>
              </w:rPr>
              <w:t>按照</w:t>
            </w:r>
            <w:r>
              <w:rPr>
                <w:rFonts w:ascii="Times New Roman" w:hAnsi="Times New Roman"/>
                <w:color w:val="000000"/>
                <w:kern w:val="0"/>
                <w:u w:val="single"/>
              </w:rPr>
              <w:t xml:space="preserve">     </w:t>
            </w:r>
            <w:r>
              <w:rPr>
                <w:rFonts w:ascii="Times New Roman" w:hAnsi="Times New Roman"/>
                <w:color w:val="000000"/>
                <w:kern w:val="0"/>
              </w:rPr>
              <w:t>元/吨计费</w:t>
            </w:r>
          </w:p>
        </w:tc>
      </w:tr>
      <w:tr w14:paraId="180A1791">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438B87B">
            <w:pPr>
              <w:spacing w:line="360" w:lineRule="auto"/>
              <w:jc w:val="center"/>
              <w:rPr>
                <w:rFonts w:ascii="Times New Roman" w:hAnsi="Times New Roman"/>
                <w:kern w:val="0"/>
              </w:rPr>
            </w:pPr>
            <w:r>
              <w:rPr>
                <w:rFonts w:ascii="Times New Roman" w:hAnsi="Times New Roman"/>
                <w:kern w:val="0"/>
              </w:rPr>
              <w:t>包装服务费</w:t>
            </w:r>
          </w:p>
        </w:tc>
        <w:tc>
          <w:tcPr>
            <w:tcW w:w="3867" w:type="dxa"/>
            <w:tcBorders>
              <w:top w:val="nil"/>
              <w:left w:val="nil"/>
              <w:bottom w:val="single" w:color="auto" w:sz="4" w:space="0"/>
              <w:right w:val="single" w:color="auto" w:sz="4" w:space="0"/>
            </w:tcBorders>
            <w:noWrap/>
            <w:vAlign w:val="center"/>
          </w:tcPr>
          <w:p w14:paraId="01D39FBA">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元/次</w:t>
            </w:r>
          </w:p>
        </w:tc>
        <w:tc>
          <w:tcPr>
            <w:tcW w:w="2773" w:type="dxa"/>
            <w:tcBorders>
              <w:top w:val="nil"/>
              <w:left w:val="nil"/>
              <w:bottom w:val="single" w:color="auto" w:sz="4" w:space="0"/>
              <w:right w:val="single" w:color="auto" w:sz="4" w:space="0"/>
            </w:tcBorders>
            <w:noWrap/>
            <w:vAlign w:val="center"/>
          </w:tcPr>
          <w:p w14:paraId="10F77E7F">
            <w:pPr>
              <w:spacing w:line="360" w:lineRule="auto"/>
              <w:jc w:val="center"/>
              <w:rPr>
                <w:rFonts w:ascii="Times New Roman" w:hAnsi="Times New Roman"/>
                <w:color w:val="000000"/>
                <w:kern w:val="0"/>
              </w:rPr>
            </w:pPr>
            <w:r>
              <w:rPr>
                <w:rFonts w:ascii="Times New Roman" w:hAnsi="Times New Roman"/>
                <w:color w:val="000000"/>
                <w:kern w:val="0"/>
              </w:rPr>
              <w:t>根据实际需求确定</w:t>
            </w:r>
          </w:p>
        </w:tc>
      </w:tr>
      <w:tr w14:paraId="1F292C34">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0AEBE81D">
            <w:pPr>
              <w:spacing w:line="360" w:lineRule="auto"/>
              <w:jc w:val="center"/>
              <w:rPr>
                <w:rFonts w:ascii="Times New Roman" w:hAnsi="Times New Roman"/>
                <w:kern w:val="0"/>
              </w:rPr>
            </w:pPr>
            <w:r>
              <w:rPr>
                <w:rFonts w:ascii="Times New Roman" w:hAnsi="Times New Roman"/>
                <w:kern w:val="0"/>
              </w:rPr>
              <w:t>等通知派送费</w:t>
            </w:r>
          </w:p>
        </w:tc>
        <w:tc>
          <w:tcPr>
            <w:tcW w:w="3867" w:type="dxa"/>
            <w:tcBorders>
              <w:top w:val="nil"/>
              <w:left w:val="nil"/>
              <w:bottom w:val="single" w:color="auto" w:sz="4" w:space="0"/>
              <w:right w:val="single" w:color="auto" w:sz="4" w:space="0"/>
            </w:tcBorders>
            <w:noWrap/>
            <w:vAlign w:val="center"/>
          </w:tcPr>
          <w:p w14:paraId="1996F444">
            <w:pPr>
              <w:spacing w:line="360" w:lineRule="auto"/>
              <w:jc w:val="center"/>
              <w:rPr>
                <w:rFonts w:ascii="Times New Roman" w:hAnsi="Times New Roman"/>
                <w:color w:val="000000"/>
                <w:kern w:val="0"/>
              </w:rPr>
            </w:pPr>
            <w:r>
              <w:rPr>
                <w:rFonts w:ascii="Times New Roman" w:hAnsi="Times New Roman"/>
                <w:color w:val="000000"/>
                <w:kern w:val="0"/>
              </w:rPr>
              <w:t xml:space="preserve"> </w:t>
            </w:r>
            <w:r>
              <w:rPr>
                <w:rFonts w:ascii="Times New Roman" w:hAnsi="Times New Roman"/>
                <w:color w:val="000000"/>
                <w:kern w:val="0"/>
                <w:u w:val="single"/>
              </w:rPr>
              <w:t xml:space="preserve">     </w:t>
            </w:r>
            <w:r>
              <w:rPr>
                <w:rFonts w:ascii="Times New Roman" w:hAnsi="Times New Roman"/>
                <w:color w:val="000000"/>
                <w:kern w:val="0"/>
              </w:rPr>
              <w:t>元/吨/天</w:t>
            </w:r>
          </w:p>
        </w:tc>
        <w:tc>
          <w:tcPr>
            <w:tcW w:w="2773" w:type="dxa"/>
            <w:tcBorders>
              <w:top w:val="nil"/>
              <w:left w:val="nil"/>
              <w:bottom w:val="single" w:color="auto" w:sz="4" w:space="0"/>
              <w:right w:val="single" w:color="auto" w:sz="4" w:space="0"/>
            </w:tcBorders>
            <w:noWrap/>
            <w:vAlign w:val="center"/>
          </w:tcPr>
          <w:p w14:paraId="694FB0C9">
            <w:pPr>
              <w:spacing w:line="360" w:lineRule="auto"/>
              <w:jc w:val="center"/>
              <w:rPr>
                <w:rFonts w:ascii="Times New Roman" w:hAnsi="Times New Roman"/>
                <w:color w:val="000000"/>
                <w:kern w:val="0"/>
              </w:rPr>
            </w:pPr>
            <w:r>
              <w:rPr>
                <w:rFonts w:ascii="Times New Roman" w:hAnsi="Times New Roman"/>
                <w:color w:val="000000"/>
                <w:kern w:val="0"/>
              </w:rPr>
              <w:t>24小时免收</w:t>
            </w:r>
          </w:p>
        </w:tc>
      </w:tr>
      <w:tr w14:paraId="0DCCC629">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63F4166">
            <w:pPr>
              <w:spacing w:line="360" w:lineRule="auto"/>
              <w:jc w:val="center"/>
              <w:rPr>
                <w:rFonts w:ascii="Times New Roman" w:hAnsi="Times New Roman"/>
                <w:kern w:val="0"/>
              </w:rPr>
            </w:pPr>
            <w:r>
              <w:rPr>
                <w:rFonts w:ascii="Times New Roman" w:hAnsi="Times New Roman"/>
                <w:kern w:val="0"/>
              </w:rPr>
              <w:t>逆向物流服务费</w:t>
            </w:r>
          </w:p>
        </w:tc>
        <w:tc>
          <w:tcPr>
            <w:tcW w:w="3867" w:type="dxa"/>
            <w:tcBorders>
              <w:top w:val="nil"/>
              <w:left w:val="nil"/>
              <w:bottom w:val="single" w:color="auto" w:sz="4" w:space="0"/>
              <w:right w:val="single" w:color="auto" w:sz="4" w:space="0"/>
            </w:tcBorders>
            <w:noWrap/>
            <w:vAlign w:val="center"/>
          </w:tcPr>
          <w:p w14:paraId="0F2E1EE1">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元/吨</w:t>
            </w:r>
          </w:p>
        </w:tc>
        <w:tc>
          <w:tcPr>
            <w:tcW w:w="2773" w:type="dxa"/>
            <w:tcBorders>
              <w:top w:val="nil"/>
              <w:left w:val="nil"/>
              <w:bottom w:val="single" w:color="auto" w:sz="4" w:space="0"/>
              <w:right w:val="single" w:color="auto" w:sz="4" w:space="0"/>
            </w:tcBorders>
            <w:noWrap/>
            <w:vAlign w:val="center"/>
          </w:tcPr>
          <w:p w14:paraId="03DE020B">
            <w:pPr>
              <w:spacing w:line="360" w:lineRule="auto"/>
              <w:jc w:val="center"/>
              <w:rPr>
                <w:rFonts w:ascii="Times New Roman" w:hAnsi="Times New Roman"/>
                <w:color w:val="000000"/>
                <w:kern w:val="0"/>
              </w:rPr>
            </w:pPr>
          </w:p>
        </w:tc>
      </w:tr>
      <w:tr w14:paraId="0D2056B6">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5461222C">
            <w:pPr>
              <w:spacing w:line="360" w:lineRule="auto"/>
              <w:jc w:val="center"/>
              <w:rPr>
                <w:rFonts w:ascii="Times New Roman" w:hAnsi="Times New Roman"/>
                <w:kern w:val="0"/>
              </w:rPr>
            </w:pPr>
            <w:r>
              <w:rPr>
                <w:rFonts w:ascii="Times New Roman" w:hAnsi="Times New Roman"/>
                <w:kern w:val="0"/>
              </w:rPr>
              <w:t>多点卸货服务费</w:t>
            </w:r>
          </w:p>
        </w:tc>
        <w:tc>
          <w:tcPr>
            <w:tcW w:w="3867" w:type="dxa"/>
            <w:tcBorders>
              <w:top w:val="nil"/>
              <w:left w:val="nil"/>
              <w:bottom w:val="single" w:color="auto" w:sz="4" w:space="0"/>
              <w:right w:val="single" w:color="auto" w:sz="4" w:space="0"/>
            </w:tcBorders>
            <w:noWrap/>
            <w:vAlign w:val="center"/>
          </w:tcPr>
          <w:p w14:paraId="49D4B9EA">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元/点</w:t>
            </w:r>
          </w:p>
        </w:tc>
        <w:tc>
          <w:tcPr>
            <w:tcW w:w="2773" w:type="dxa"/>
            <w:tcBorders>
              <w:top w:val="nil"/>
              <w:left w:val="nil"/>
              <w:bottom w:val="single" w:color="auto" w:sz="4" w:space="0"/>
              <w:right w:val="single" w:color="auto" w:sz="4" w:space="0"/>
            </w:tcBorders>
            <w:noWrap/>
            <w:vAlign w:val="center"/>
          </w:tcPr>
          <w:p w14:paraId="1B33C9A5">
            <w:pPr>
              <w:spacing w:line="360" w:lineRule="auto"/>
              <w:jc w:val="center"/>
              <w:rPr>
                <w:rFonts w:ascii="Times New Roman" w:hAnsi="Times New Roman"/>
                <w:color w:val="000000"/>
                <w:kern w:val="0"/>
              </w:rPr>
            </w:pPr>
          </w:p>
        </w:tc>
      </w:tr>
      <w:tr w14:paraId="4BAB303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3EF49A0B">
            <w:pPr>
              <w:spacing w:line="360" w:lineRule="auto"/>
              <w:jc w:val="center"/>
              <w:rPr>
                <w:rFonts w:ascii="Times New Roman" w:hAnsi="Times New Roman"/>
                <w:kern w:val="0"/>
              </w:rPr>
            </w:pPr>
            <w:r>
              <w:rPr>
                <w:rFonts w:ascii="Times New Roman" w:hAnsi="Times New Roman"/>
                <w:kern w:val="0"/>
              </w:rPr>
              <w:t>产品上架费</w:t>
            </w:r>
          </w:p>
        </w:tc>
        <w:tc>
          <w:tcPr>
            <w:tcW w:w="3867" w:type="dxa"/>
            <w:tcBorders>
              <w:top w:val="nil"/>
              <w:left w:val="nil"/>
              <w:bottom w:val="single" w:color="auto" w:sz="4" w:space="0"/>
              <w:right w:val="single" w:color="auto" w:sz="4" w:space="0"/>
            </w:tcBorders>
            <w:noWrap/>
            <w:vAlign w:val="center"/>
          </w:tcPr>
          <w:p w14:paraId="4B46D46F">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元/点</w:t>
            </w:r>
          </w:p>
        </w:tc>
        <w:tc>
          <w:tcPr>
            <w:tcW w:w="2773" w:type="dxa"/>
            <w:tcBorders>
              <w:top w:val="nil"/>
              <w:left w:val="nil"/>
              <w:bottom w:val="single" w:color="auto" w:sz="4" w:space="0"/>
              <w:right w:val="single" w:color="auto" w:sz="4" w:space="0"/>
            </w:tcBorders>
            <w:noWrap/>
            <w:vAlign w:val="center"/>
          </w:tcPr>
          <w:p w14:paraId="77C276EC">
            <w:pPr>
              <w:spacing w:line="360" w:lineRule="auto"/>
              <w:jc w:val="center"/>
              <w:rPr>
                <w:rFonts w:ascii="Times New Roman" w:hAnsi="Times New Roman"/>
                <w:color w:val="000000"/>
                <w:kern w:val="0"/>
              </w:rPr>
            </w:pPr>
          </w:p>
        </w:tc>
      </w:tr>
    </w:tbl>
    <w:p w14:paraId="2820BD14">
      <w:pPr>
        <w:spacing w:before="156" w:beforeLines="50" w:after="156" w:afterLines="50" w:line="480" w:lineRule="exact"/>
        <w:rPr>
          <w:rFonts w:hint="eastAsia" w:ascii="Times New Roman" w:hAnsi="Times New Roman" w:eastAsia="微软雅黑"/>
          <w:kern w:val="10"/>
          <w:sz w:val="24"/>
          <w:lang w:eastAsia="zh-CN"/>
        </w:rPr>
      </w:pPr>
      <w:r>
        <w:rPr>
          <w:rFonts w:ascii="Times New Roman" w:hAnsi="Times New Roman"/>
          <w:b/>
          <w:sz w:val="24"/>
        </w:rPr>
        <w:t>备注：</w:t>
      </w:r>
      <w:bookmarkStart w:id="10" w:name="_Hlk10032735"/>
      <w:r>
        <w:rPr>
          <w:rFonts w:ascii="Times New Roman" w:hAnsi="Times New Roman"/>
          <w:kern w:val="10"/>
          <w:sz w:val="24"/>
        </w:rPr>
        <w:t>运输及附加服务报价包含国家规定的9%增值税发票，若国家税率调整，则按国家标准执行</w:t>
      </w:r>
      <w:bookmarkEnd w:id="10"/>
      <w:r>
        <w:rPr>
          <w:rFonts w:hint="eastAsia" w:ascii="Times New Roman" w:hAnsi="Times New Roman"/>
          <w:kern w:val="10"/>
          <w:sz w:val="24"/>
          <w:lang w:eastAsia="zh-CN"/>
        </w:rPr>
        <w:t>。</w:t>
      </w:r>
    </w:p>
    <w:p w14:paraId="043D6448">
      <w:pPr>
        <w:spacing w:line="360" w:lineRule="auto"/>
        <w:rPr>
          <w:rFonts w:ascii="Times New Roman" w:hAnsi="Times New Roman"/>
          <w:b/>
          <w:sz w:val="24"/>
        </w:rPr>
      </w:pPr>
      <w:r>
        <w:rPr>
          <w:rFonts w:ascii="Times New Roman" w:hAnsi="Times New Roman"/>
          <w:b/>
          <w:sz w:val="24"/>
        </w:rPr>
        <w:t xml:space="preserve"> </w:t>
      </w:r>
    </w:p>
    <w:p w14:paraId="2D71FE06">
      <w:pPr>
        <w:spacing w:before="156" w:beforeLines="50" w:after="156" w:line="480" w:lineRule="exact"/>
        <w:rPr>
          <w:rFonts w:ascii="Times New Roman" w:hAnsi="Times New Roman"/>
          <w:b/>
          <w:sz w:val="28"/>
        </w:rPr>
      </w:pPr>
    </w:p>
    <w:p w14:paraId="4284F571">
      <w:pPr>
        <w:rPr>
          <w:rFonts w:ascii="Times New Roman" w:hAnsi="Times New Roman"/>
        </w:rPr>
      </w:pPr>
    </w:p>
    <w:p w14:paraId="70112BCE">
      <w:pPr>
        <w:spacing w:line="480" w:lineRule="exact"/>
        <w:rPr>
          <w:rFonts w:ascii="Times New Roman" w:hAnsi="Times New Roman" w:eastAsiaTheme="minorEastAsia"/>
          <w:b/>
          <w:sz w:val="24"/>
          <w:szCs w:val="24"/>
        </w:rPr>
      </w:pPr>
      <w:r>
        <w:rPr>
          <w:rFonts w:hint="eastAsia" w:ascii="Times New Roman" w:hAnsi="Times New Roman" w:eastAsiaTheme="minorEastAsia"/>
          <w:b/>
          <w:sz w:val="24"/>
          <w:szCs w:val="24"/>
        </w:rPr>
        <w:t>附件二：《货物运输单》</w:t>
      </w:r>
    </w:p>
    <w:p w14:paraId="439F756E">
      <w:pPr>
        <w:widowControl w:val="0"/>
        <w:spacing w:before="156" w:beforeLines="50" w:after="156" w:afterLines="50" w:line="360" w:lineRule="auto"/>
        <w:jc w:val="center"/>
        <w:rPr>
          <w:rFonts w:ascii="宋体" w:hAnsi="宋体" w:eastAsia="宋体" w:cs="Microsoft Sans Serif"/>
          <w:b/>
          <w:sz w:val="28"/>
          <w:szCs w:val="28"/>
        </w:rPr>
      </w:pPr>
      <w:r>
        <w:rPr>
          <w:rFonts w:hint="eastAsia" w:ascii="宋体" w:hAnsi="宋体" w:eastAsia="宋体" w:cs="Microsoft Sans Serif"/>
          <w:b/>
          <w:sz w:val="28"/>
          <w:szCs w:val="28"/>
        </w:rPr>
        <w:t>货物运输单</w:t>
      </w:r>
    </w:p>
    <w:p w14:paraId="1929F873">
      <w:pPr>
        <w:widowControl w:val="0"/>
        <w:spacing w:before="156" w:beforeLines="50" w:after="156" w:afterLines="50" w:line="360" w:lineRule="auto"/>
        <w:ind w:right="1920"/>
        <w:jc w:val="right"/>
        <w:rPr>
          <w:rFonts w:ascii="Times New Roman" w:hAnsi="Times New Roman" w:eastAsia="宋体"/>
          <w:sz w:val="24"/>
          <w:szCs w:val="24"/>
        </w:rPr>
      </w:pPr>
      <w:r>
        <w:rPr>
          <w:rFonts w:ascii="Times New Roman" w:hAnsi="Times New Roman" w:eastAsia="宋体"/>
          <w:sz w:val="24"/>
          <w:szCs w:val="24"/>
        </w:rPr>
        <w:t>编号：</w:t>
      </w:r>
    </w:p>
    <w:p w14:paraId="1DC901F2">
      <w:pPr>
        <w:widowControl w:val="0"/>
        <w:spacing w:before="156" w:beforeLines="50" w:after="156" w:afterLines="50" w:line="360" w:lineRule="auto"/>
        <w:ind w:right="240"/>
        <w:jc w:val="right"/>
        <w:rPr>
          <w:rFonts w:ascii="Times New Roman" w:hAnsi="Times New Roman" w:eastAsia="宋体"/>
          <w:sz w:val="24"/>
          <w:szCs w:val="24"/>
        </w:rPr>
      </w:pPr>
      <w:r>
        <w:rPr>
          <w:rFonts w:ascii="Times New Roman" w:hAnsi="Times New Roman" w:eastAsia="宋体"/>
          <w:sz w:val="24"/>
          <w:szCs w:val="24"/>
        </w:rPr>
        <w:t>日期：  年   月   日</w:t>
      </w:r>
    </w:p>
    <w:p w14:paraId="2F9BFCBA">
      <w:pPr>
        <w:widowControl w:val="0"/>
        <w:spacing w:before="156" w:beforeLines="50" w:after="156" w:afterLines="50" w:line="360" w:lineRule="auto"/>
        <w:ind w:right="238"/>
        <w:rPr>
          <w:rFonts w:ascii="Times New Roman" w:hAnsi="Times New Roman" w:eastAsia="宋体"/>
          <w:sz w:val="24"/>
          <w:szCs w:val="24"/>
          <w:u w:val="single"/>
        </w:rPr>
      </w:pPr>
      <w:r>
        <w:rPr>
          <w:rFonts w:ascii="Times New Roman" w:hAnsi="Times New Roman" w:eastAsia="宋体"/>
          <w:sz w:val="24"/>
          <w:szCs w:val="24"/>
        </w:rPr>
        <w:t>客户：</w:t>
      </w:r>
      <w:r>
        <w:rPr>
          <w:rFonts w:ascii="Times New Roman" w:hAnsi="Times New Roman" w:eastAsia="宋体"/>
          <w:sz w:val="24"/>
          <w:szCs w:val="24"/>
          <w:u w:val="single"/>
        </w:rPr>
        <w:t xml:space="preserve">                   </w:t>
      </w:r>
    </w:p>
    <w:p w14:paraId="1431F60A">
      <w:pPr>
        <w:widowControl w:val="0"/>
        <w:spacing w:before="156" w:beforeLines="50" w:after="156" w:afterLines="50" w:line="360" w:lineRule="auto"/>
        <w:ind w:right="238"/>
        <w:rPr>
          <w:rFonts w:ascii="Times New Roman" w:hAnsi="Times New Roman" w:eastAsia="宋体"/>
          <w:sz w:val="24"/>
          <w:szCs w:val="24"/>
          <w:u w:val="single"/>
        </w:rPr>
      </w:pPr>
      <w:r>
        <w:rPr>
          <w:rFonts w:hint="eastAsia" w:ascii="Times New Roman" w:hAnsi="Times New Roman" w:eastAsia="宋体"/>
          <w:sz w:val="24"/>
          <w:szCs w:val="24"/>
          <w:u w:val="none"/>
        </w:rPr>
        <w:t>承运方：</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p>
    <w:p w14:paraId="22409ABD">
      <w:pPr>
        <w:widowControl w:val="0"/>
        <w:numPr>
          <w:ilvl w:val="0"/>
          <w:numId w:val="5"/>
        </w:numPr>
        <w:spacing w:before="156" w:beforeLines="50" w:after="156" w:afterLines="50" w:line="360" w:lineRule="auto"/>
        <w:ind w:right="238"/>
        <w:jc w:val="both"/>
        <w:rPr>
          <w:rFonts w:ascii="Times New Roman" w:hAnsi="Times New Roman" w:eastAsia="宋体"/>
          <w:b/>
          <w:sz w:val="24"/>
          <w:szCs w:val="24"/>
        </w:rPr>
      </w:pPr>
      <w:r>
        <w:rPr>
          <w:rFonts w:ascii="Times New Roman" w:hAnsi="Times New Roman" w:eastAsia="宋体"/>
          <w:b/>
          <w:sz w:val="24"/>
          <w:szCs w:val="24"/>
        </w:rPr>
        <w:t>运输产品</w:t>
      </w:r>
    </w:p>
    <w:tbl>
      <w:tblPr>
        <w:tblStyle w:val="13"/>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07"/>
        <w:gridCol w:w="972"/>
        <w:gridCol w:w="1530"/>
        <w:gridCol w:w="1784"/>
        <w:gridCol w:w="1397"/>
        <w:gridCol w:w="1594"/>
        <w:gridCol w:w="1276"/>
      </w:tblGrid>
      <w:tr w14:paraId="3A35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7" w:type="dxa"/>
            <w:vAlign w:val="center"/>
          </w:tcPr>
          <w:p w14:paraId="0C67F55F">
            <w:pPr>
              <w:widowControl w:val="0"/>
              <w:ind w:right="240"/>
              <w:jc w:val="center"/>
              <w:rPr>
                <w:rFonts w:ascii="Times New Roman" w:hAnsi="Times New Roman" w:eastAsia="宋体"/>
                <w:szCs w:val="21"/>
              </w:rPr>
            </w:pPr>
            <w:r>
              <w:rPr>
                <w:rFonts w:ascii="Times New Roman" w:hAnsi="Times New Roman" w:eastAsia="宋体"/>
                <w:szCs w:val="21"/>
              </w:rPr>
              <w:t>序号</w:t>
            </w:r>
          </w:p>
        </w:tc>
        <w:tc>
          <w:tcPr>
            <w:tcW w:w="1407" w:type="dxa"/>
            <w:vAlign w:val="center"/>
          </w:tcPr>
          <w:p w14:paraId="076AFA01">
            <w:pPr>
              <w:widowControl w:val="0"/>
              <w:ind w:right="240"/>
              <w:jc w:val="center"/>
              <w:rPr>
                <w:rFonts w:ascii="Times New Roman" w:hAnsi="Times New Roman" w:eastAsia="宋体"/>
                <w:szCs w:val="21"/>
              </w:rPr>
            </w:pPr>
            <w:r>
              <w:rPr>
                <w:rFonts w:ascii="Times New Roman" w:hAnsi="Times New Roman" w:eastAsia="宋体"/>
                <w:szCs w:val="21"/>
              </w:rPr>
              <w:t>货物名称</w:t>
            </w:r>
          </w:p>
        </w:tc>
        <w:tc>
          <w:tcPr>
            <w:tcW w:w="972" w:type="dxa"/>
            <w:vAlign w:val="center"/>
          </w:tcPr>
          <w:p w14:paraId="19CA268B">
            <w:pPr>
              <w:widowControl w:val="0"/>
              <w:ind w:right="240"/>
              <w:jc w:val="center"/>
              <w:rPr>
                <w:rFonts w:ascii="Times New Roman" w:hAnsi="Times New Roman" w:eastAsia="宋体"/>
                <w:szCs w:val="21"/>
              </w:rPr>
            </w:pPr>
            <w:r>
              <w:rPr>
                <w:rFonts w:ascii="Times New Roman" w:hAnsi="Times New Roman" w:eastAsia="宋体"/>
                <w:szCs w:val="21"/>
              </w:rPr>
              <w:t>规格</w:t>
            </w:r>
          </w:p>
        </w:tc>
        <w:tc>
          <w:tcPr>
            <w:tcW w:w="1530" w:type="dxa"/>
            <w:vAlign w:val="center"/>
          </w:tcPr>
          <w:p w14:paraId="539C4937">
            <w:pPr>
              <w:widowControl w:val="0"/>
              <w:ind w:right="240"/>
              <w:jc w:val="center"/>
              <w:rPr>
                <w:rFonts w:ascii="Times New Roman" w:hAnsi="Times New Roman" w:eastAsia="宋体"/>
                <w:szCs w:val="21"/>
              </w:rPr>
            </w:pPr>
            <w:r>
              <w:rPr>
                <w:rFonts w:ascii="Times New Roman" w:hAnsi="Times New Roman" w:eastAsia="宋体"/>
                <w:szCs w:val="21"/>
              </w:rPr>
              <w:t>重量（kg）</w:t>
            </w:r>
          </w:p>
        </w:tc>
        <w:tc>
          <w:tcPr>
            <w:tcW w:w="1784" w:type="dxa"/>
            <w:vAlign w:val="center"/>
          </w:tcPr>
          <w:p w14:paraId="6F0473D6">
            <w:pPr>
              <w:widowControl w:val="0"/>
              <w:ind w:right="240"/>
              <w:jc w:val="center"/>
              <w:rPr>
                <w:rFonts w:ascii="Times New Roman" w:hAnsi="Times New Roman" w:eastAsia="宋体"/>
                <w:szCs w:val="21"/>
              </w:rPr>
            </w:pPr>
            <w:r>
              <w:rPr>
                <w:rFonts w:ascii="Times New Roman" w:hAnsi="Times New Roman" w:eastAsia="宋体"/>
                <w:szCs w:val="21"/>
              </w:rPr>
              <w:t>数量（件/箱）</w:t>
            </w:r>
          </w:p>
        </w:tc>
        <w:tc>
          <w:tcPr>
            <w:tcW w:w="1397" w:type="dxa"/>
            <w:vAlign w:val="center"/>
          </w:tcPr>
          <w:p w14:paraId="31591D2E">
            <w:pPr>
              <w:widowControl w:val="0"/>
              <w:ind w:right="240"/>
              <w:jc w:val="center"/>
              <w:rPr>
                <w:rFonts w:ascii="Times New Roman" w:hAnsi="Times New Roman" w:eastAsia="宋体"/>
                <w:szCs w:val="21"/>
              </w:rPr>
            </w:pPr>
            <w:r>
              <w:rPr>
                <w:rFonts w:ascii="Times New Roman" w:hAnsi="Times New Roman" w:eastAsia="宋体"/>
                <w:szCs w:val="21"/>
              </w:rPr>
              <w:t>运输温度（℃）</w:t>
            </w:r>
          </w:p>
        </w:tc>
        <w:tc>
          <w:tcPr>
            <w:tcW w:w="1594" w:type="dxa"/>
            <w:vAlign w:val="center"/>
          </w:tcPr>
          <w:p w14:paraId="7B485AD7">
            <w:pPr>
              <w:widowControl w:val="0"/>
              <w:ind w:right="240"/>
              <w:jc w:val="center"/>
              <w:rPr>
                <w:rFonts w:ascii="Times New Roman" w:hAnsi="Times New Roman" w:eastAsia="宋体"/>
                <w:szCs w:val="21"/>
              </w:rPr>
            </w:pPr>
            <w:r>
              <w:rPr>
                <w:rFonts w:ascii="Times New Roman" w:hAnsi="Times New Roman" w:eastAsia="宋体"/>
                <w:szCs w:val="21"/>
              </w:rPr>
              <w:t>产品总价值（元）</w:t>
            </w:r>
          </w:p>
        </w:tc>
        <w:tc>
          <w:tcPr>
            <w:tcW w:w="1276" w:type="dxa"/>
          </w:tcPr>
          <w:p w14:paraId="54C921F2">
            <w:pPr>
              <w:widowControl w:val="0"/>
              <w:ind w:right="240"/>
              <w:jc w:val="center"/>
              <w:rPr>
                <w:rFonts w:ascii="Times New Roman" w:hAnsi="Times New Roman" w:eastAsia="宋体"/>
                <w:szCs w:val="21"/>
              </w:rPr>
            </w:pPr>
            <w:r>
              <w:rPr>
                <w:rFonts w:ascii="Times New Roman" w:hAnsi="Times New Roman" w:eastAsia="宋体"/>
                <w:szCs w:val="21"/>
              </w:rPr>
              <w:t>运费</w:t>
            </w:r>
            <w:r>
              <w:rPr>
                <w:rFonts w:hint="eastAsia" w:ascii="Times New Roman" w:hAnsi="Times New Roman" w:eastAsia="宋体"/>
                <w:szCs w:val="21"/>
              </w:rPr>
              <w:t>（元）</w:t>
            </w:r>
          </w:p>
        </w:tc>
      </w:tr>
      <w:tr w14:paraId="2E60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7" w:type="dxa"/>
            <w:vAlign w:val="center"/>
          </w:tcPr>
          <w:p w14:paraId="4B76B789">
            <w:pPr>
              <w:widowControl w:val="0"/>
              <w:ind w:right="240"/>
              <w:rPr>
                <w:rFonts w:ascii="Times New Roman" w:hAnsi="Times New Roman" w:eastAsia="宋体"/>
                <w:sz w:val="24"/>
                <w:szCs w:val="24"/>
              </w:rPr>
            </w:pPr>
          </w:p>
        </w:tc>
        <w:tc>
          <w:tcPr>
            <w:tcW w:w="1407" w:type="dxa"/>
            <w:vAlign w:val="center"/>
          </w:tcPr>
          <w:p w14:paraId="009B837B">
            <w:pPr>
              <w:widowControl w:val="0"/>
              <w:ind w:right="240"/>
              <w:rPr>
                <w:rFonts w:ascii="Times New Roman" w:hAnsi="Times New Roman" w:eastAsia="宋体"/>
                <w:sz w:val="24"/>
                <w:szCs w:val="24"/>
              </w:rPr>
            </w:pPr>
          </w:p>
        </w:tc>
        <w:tc>
          <w:tcPr>
            <w:tcW w:w="972" w:type="dxa"/>
            <w:vAlign w:val="center"/>
          </w:tcPr>
          <w:p w14:paraId="42878160">
            <w:pPr>
              <w:widowControl w:val="0"/>
              <w:ind w:right="240"/>
              <w:rPr>
                <w:rFonts w:ascii="Times New Roman" w:hAnsi="Times New Roman" w:eastAsia="宋体"/>
                <w:sz w:val="24"/>
                <w:szCs w:val="24"/>
              </w:rPr>
            </w:pPr>
          </w:p>
        </w:tc>
        <w:tc>
          <w:tcPr>
            <w:tcW w:w="1530" w:type="dxa"/>
            <w:vAlign w:val="center"/>
          </w:tcPr>
          <w:p w14:paraId="39CC5C46">
            <w:pPr>
              <w:widowControl w:val="0"/>
              <w:ind w:right="240"/>
              <w:rPr>
                <w:rFonts w:ascii="Times New Roman" w:hAnsi="Times New Roman" w:eastAsia="宋体"/>
                <w:sz w:val="24"/>
                <w:szCs w:val="24"/>
              </w:rPr>
            </w:pPr>
          </w:p>
        </w:tc>
        <w:tc>
          <w:tcPr>
            <w:tcW w:w="1784" w:type="dxa"/>
            <w:vAlign w:val="center"/>
          </w:tcPr>
          <w:p w14:paraId="5C82D755">
            <w:pPr>
              <w:widowControl w:val="0"/>
              <w:ind w:right="240"/>
              <w:rPr>
                <w:rFonts w:ascii="Times New Roman" w:hAnsi="Times New Roman" w:eastAsia="宋体"/>
                <w:sz w:val="24"/>
                <w:szCs w:val="24"/>
              </w:rPr>
            </w:pPr>
          </w:p>
        </w:tc>
        <w:tc>
          <w:tcPr>
            <w:tcW w:w="1397" w:type="dxa"/>
            <w:vAlign w:val="center"/>
          </w:tcPr>
          <w:p w14:paraId="29690379">
            <w:pPr>
              <w:widowControl w:val="0"/>
              <w:ind w:right="240"/>
              <w:rPr>
                <w:rFonts w:ascii="Times New Roman" w:hAnsi="Times New Roman" w:eastAsia="宋体"/>
                <w:sz w:val="24"/>
                <w:szCs w:val="24"/>
              </w:rPr>
            </w:pPr>
          </w:p>
        </w:tc>
        <w:tc>
          <w:tcPr>
            <w:tcW w:w="1594" w:type="dxa"/>
            <w:vAlign w:val="center"/>
          </w:tcPr>
          <w:p w14:paraId="1A7C5F8E">
            <w:pPr>
              <w:widowControl w:val="0"/>
              <w:ind w:right="240"/>
              <w:rPr>
                <w:rFonts w:ascii="Times New Roman" w:hAnsi="Times New Roman" w:eastAsia="宋体"/>
                <w:sz w:val="24"/>
                <w:szCs w:val="24"/>
              </w:rPr>
            </w:pPr>
          </w:p>
        </w:tc>
        <w:tc>
          <w:tcPr>
            <w:tcW w:w="1276" w:type="dxa"/>
          </w:tcPr>
          <w:p w14:paraId="39509E86">
            <w:pPr>
              <w:widowControl w:val="0"/>
              <w:ind w:right="240"/>
              <w:rPr>
                <w:rFonts w:ascii="Times New Roman" w:hAnsi="Times New Roman" w:eastAsia="宋体"/>
                <w:sz w:val="24"/>
                <w:szCs w:val="24"/>
              </w:rPr>
            </w:pPr>
          </w:p>
        </w:tc>
      </w:tr>
    </w:tbl>
    <w:p w14:paraId="6633EAE6">
      <w:pPr>
        <w:widowControl w:val="0"/>
        <w:spacing w:before="156" w:beforeLines="50" w:after="156" w:afterLines="50" w:line="360" w:lineRule="auto"/>
        <w:ind w:right="238"/>
        <w:rPr>
          <w:rFonts w:ascii="Times New Roman" w:hAnsi="Times New Roman" w:eastAsia="宋体"/>
          <w:sz w:val="24"/>
          <w:szCs w:val="24"/>
        </w:rPr>
      </w:pPr>
      <w:r>
        <w:rPr>
          <w:rFonts w:ascii="Times New Roman" w:hAnsi="Times New Roman" w:eastAsia="宋体"/>
          <w:sz w:val="24"/>
          <w:szCs w:val="24"/>
        </w:rPr>
        <w:t>注：1、本订单项下货物为一次性运输，如需分批次运输，每批次运输货物需对应一张订单；</w:t>
      </w:r>
    </w:p>
    <w:p w14:paraId="41F1E8CC">
      <w:pPr>
        <w:widowControl w:val="0"/>
        <w:spacing w:before="156" w:beforeLines="50" w:after="156" w:afterLines="50" w:line="360" w:lineRule="auto"/>
        <w:ind w:right="238"/>
        <w:rPr>
          <w:rFonts w:ascii="Times New Roman" w:hAnsi="Times New Roman" w:eastAsia="宋体"/>
          <w:sz w:val="24"/>
          <w:szCs w:val="24"/>
        </w:rPr>
      </w:pPr>
      <w:r>
        <w:rPr>
          <w:rFonts w:ascii="Times New Roman" w:hAnsi="Times New Roman" w:eastAsia="宋体"/>
          <w:sz w:val="24"/>
          <w:szCs w:val="24"/>
        </w:rPr>
        <w:t xml:space="preserve">    2、以上重量为货物毛重。</w:t>
      </w:r>
    </w:p>
    <w:p w14:paraId="363C8F84">
      <w:pPr>
        <w:widowControl w:val="0"/>
        <w:numPr>
          <w:ilvl w:val="0"/>
          <w:numId w:val="5"/>
        </w:numPr>
        <w:spacing w:before="156" w:beforeLines="50" w:after="156" w:afterLines="50" w:line="360" w:lineRule="auto"/>
        <w:ind w:right="238"/>
        <w:jc w:val="both"/>
        <w:rPr>
          <w:rFonts w:ascii="Times New Roman" w:hAnsi="Times New Roman" w:eastAsia="宋体"/>
          <w:b/>
          <w:sz w:val="24"/>
          <w:szCs w:val="24"/>
        </w:rPr>
      </w:pPr>
      <w:r>
        <w:rPr>
          <w:rFonts w:hint="eastAsia" w:ascii="Times New Roman" w:hAnsi="Times New Roman" w:eastAsia="宋体"/>
          <w:b/>
          <w:sz w:val="24"/>
          <w:szCs w:val="24"/>
        </w:rPr>
        <w:t>发</w:t>
      </w:r>
      <w:r>
        <w:rPr>
          <w:rFonts w:ascii="Times New Roman" w:hAnsi="Times New Roman" w:eastAsia="宋体"/>
          <w:b/>
          <w:sz w:val="24"/>
          <w:szCs w:val="24"/>
        </w:rPr>
        <w:t>货及</w:t>
      </w:r>
      <w:r>
        <w:rPr>
          <w:rFonts w:hint="eastAsia" w:ascii="Times New Roman" w:hAnsi="Times New Roman" w:eastAsia="宋体"/>
          <w:b/>
          <w:sz w:val="24"/>
          <w:szCs w:val="24"/>
        </w:rPr>
        <w:t>收</w:t>
      </w:r>
      <w:r>
        <w:rPr>
          <w:rFonts w:ascii="Times New Roman" w:hAnsi="Times New Roman" w:eastAsia="宋体"/>
          <w:b/>
          <w:sz w:val="24"/>
          <w:szCs w:val="24"/>
        </w:rPr>
        <w:t>货</w:t>
      </w:r>
    </w:p>
    <w:p w14:paraId="1A73D0D1">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hint="eastAsia" w:ascii="Times New Roman" w:hAnsi="Times New Roman" w:eastAsia="宋体"/>
          <w:sz w:val="24"/>
          <w:szCs w:val="24"/>
        </w:rPr>
        <w:t>发</w:t>
      </w:r>
      <w:r>
        <w:rPr>
          <w:rFonts w:ascii="Times New Roman" w:hAnsi="Times New Roman" w:eastAsia="宋体"/>
          <w:sz w:val="24"/>
          <w:szCs w:val="24"/>
        </w:rPr>
        <w:t>货时间：</w:t>
      </w:r>
      <w:r>
        <w:rPr>
          <w:rFonts w:ascii="Times New Roman" w:hAnsi="Times New Roman" w:eastAsia="宋体"/>
          <w:sz w:val="24"/>
          <w:szCs w:val="24"/>
          <w:u w:val="single"/>
        </w:rPr>
        <w:t xml:space="preserve">                                     </w:t>
      </w:r>
    </w:p>
    <w:p w14:paraId="3158D03A">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hint="eastAsia" w:ascii="Times New Roman" w:hAnsi="Times New Roman" w:eastAsia="宋体"/>
          <w:sz w:val="24"/>
          <w:szCs w:val="24"/>
        </w:rPr>
        <w:t>收</w:t>
      </w:r>
      <w:r>
        <w:rPr>
          <w:rFonts w:ascii="Times New Roman" w:hAnsi="Times New Roman" w:eastAsia="宋体"/>
          <w:sz w:val="24"/>
          <w:szCs w:val="24"/>
        </w:rPr>
        <w:t>货地点：</w:t>
      </w:r>
      <w:r>
        <w:rPr>
          <w:rFonts w:ascii="Times New Roman" w:hAnsi="Times New Roman" w:eastAsia="宋体"/>
          <w:sz w:val="24"/>
          <w:szCs w:val="24"/>
          <w:u w:val="single"/>
        </w:rPr>
        <w:t xml:space="preserve">                                     </w:t>
      </w:r>
    </w:p>
    <w:p w14:paraId="3D8749B5">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hint="eastAsia" w:ascii="Times New Roman" w:hAnsi="Times New Roman" w:eastAsia="宋体"/>
          <w:sz w:val="24"/>
          <w:szCs w:val="24"/>
        </w:rPr>
        <w:t>到</w:t>
      </w:r>
      <w:r>
        <w:rPr>
          <w:rFonts w:ascii="Times New Roman" w:hAnsi="Times New Roman" w:eastAsia="宋体"/>
          <w:sz w:val="24"/>
          <w:szCs w:val="24"/>
        </w:rPr>
        <w:t>货时间：</w:t>
      </w:r>
      <w:r>
        <w:rPr>
          <w:rFonts w:ascii="Times New Roman" w:hAnsi="Times New Roman" w:eastAsia="宋体"/>
          <w:sz w:val="24"/>
          <w:szCs w:val="24"/>
          <w:u w:val="single"/>
        </w:rPr>
        <w:t xml:space="preserve">                                     </w:t>
      </w:r>
    </w:p>
    <w:p w14:paraId="04F8CE01">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ascii="Times New Roman" w:hAnsi="Times New Roman" w:eastAsia="宋体"/>
          <w:sz w:val="24"/>
          <w:szCs w:val="24"/>
        </w:rPr>
        <w:t>收货人：</w:t>
      </w:r>
      <w:r>
        <w:rPr>
          <w:rFonts w:ascii="Times New Roman" w:hAnsi="Times New Roman" w:eastAsia="宋体"/>
          <w:sz w:val="24"/>
          <w:szCs w:val="24"/>
          <w:u w:val="single"/>
        </w:rPr>
        <w:t xml:space="preserve">            </w:t>
      </w:r>
      <w:r>
        <w:rPr>
          <w:rFonts w:ascii="Times New Roman" w:hAnsi="Times New Roman" w:eastAsia="宋体"/>
          <w:sz w:val="24"/>
          <w:szCs w:val="24"/>
        </w:rPr>
        <w:t>；联系方式：</w:t>
      </w:r>
      <w:r>
        <w:rPr>
          <w:rFonts w:ascii="Times New Roman" w:hAnsi="Times New Roman" w:eastAsia="宋体"/>
          <w:sz w:val="24"/>
          <w:szCs w:val="24"/>
          <w:u w:val="single"/>
        </w:rPr>
        <w:t xml:space="preserve">               </w:t>
      </w:r>
    </w:p>
    <w:p w14:paraId="6EE49656">
      <w:pPr>
        <w:widowControl w:val="0"/>
        <w:numPr>
          <w:ilvl w:val="0"/>
          <w:numId w:val="5"/>
        </w:numPr>
        <w:spacing w:before="156" w:beforeLines="50" w:after="156" w:afterLines="50" w:line="360" w:lineRule="auto"/>
        <w:ind w:right="238"/>
        <w:jc w:val="both"/>
        <w:rPr>
          <w:rFonts w:ascii="Times New Roman" w:hAnsi="Times New Roman" w:eastAsia="宋体"/>
          <w:sz w:val="24"/>
          <w:szCs w:val="24"/>
        </w:rPr>
      </w:pPr>
      <w:r>
        <w:rPr>
          <w:rFonts w:ascii="Times New Roman" w:hAnsi="Times New Roman" w:eastAsia="宋体"/>
          <w:b/>
          <w:sz w:val="24"/>
          <w:szCs w:val="24"/>
        </w:rPr>
        <w:t>附加服务：</w:t>
      </w:r>
    </w:p>
    <w:p w14:paraId="479DB965">
      <w:pPr>
        <w:widowControl w:val="0"/>
        <w:numPr>
          <w:ilvl w:val="0"/>
          <w:numId w:val="7"/>
        </w:numPr>
        <w:spacing w:before="156" w:beforeLines="50" w:after="156" w:afterLines="50" w:line="360" w:lineRule="auto"/>
        <w:ind w:right="238"/>
        <w:jc w:val="both"/>
        <w:rPr>
          <w:rFonts w:ascii="Times New Roman" w:hAnsi="Times New Roman" w:eastAsia="宋体"/>
          <w:sz w:val="24"/>
          <w:szCs w:val="24"/>
          <w:u w:val="single"/>
        </w:rPr>
      </w:pPr>
      <w:r>
        <w:rPr>
          <w:rFonts w:hint="eastAsia" w:ascii="Times New Roman" w:hAnsi="Times New Roman" w:eastAsia="宋体"/>
          <w:sz w:val="24"/>
          <w:szCs w:val="24"/>
        </w:rPr>
        <w:t>服务内容：</w:t>
      </w:r>
      <w:r>
        <w:rPr>
          <w:rFonts w:hint="eastAsia" w:ascii="Times New Roman" w:hAnsi="Times New Roman" w:eastAsia="宋体"/>
          <w:sz w:val="24"/>
          <w:szCs w:val="24"/>
          <w:u w:val="single"/>
        </w:rPr>
        <w:t xml:space="preserve">                  </w:t>
      </w:r>
    </w:p>
    <w:p w14:paraId="3AA37007">
      <w:pPr>
        <w:widowControl w:val="0"/>
        <w:numPr>
          <w:ilvl w:val="0"/>
          <w:numId w:val="7"/>
        </w:numPr>
        <w:spacing w:before="156" w:beforeLines="50" w:after="156" w:afterLines="50" w:line="360" w:lineRule="auto"/>
        <w:ind w:right="238"/>
        <w:jc w:val="both"/>
        <w:rPr>
          <w:rFonts w:ascii="Times New Roman" w:hAnsi="Times New Roman" w:eastAsia="宋体"/>
          <w:sz w:val="24"/>
          <w:szCs w:val="24"/>
          <w:u w:val="single"/>
        </w:rPr>
      </w:pPr>
      <w:r>
        <w:rPr>
          <w:rFonts w:hint="eastAsia" w:ascii="Times New Roman" w:hAnsi="Times New Roman" w:eastAsia="宋体"/>
          <w:sz w:val="24"/>
          <w:szCs w:val="24"/>
        </w:rPr>
        <w:t>收费标准：</w:t>
      </w:r>
      <w:r>
        <w:rPr>
          <w:rFonts w:hint="eastAsia" w:ascii="Times New Roman" w:hAnsi="Times New Roman" w:eastAsia="宋体"/>
          <w:sz w:val="24"/>
          <w:szCs w:val="24"/>
          <w:u w:val="single"/>
        </w:rPr>
        <w:t xml:space="preserve">                  </w:t>
      </w:r>
    </w:p>
    <w:p w14:paraId="58527541">
      <w:pPr>
        <w:widowControl w:val="0"/>
        <w:numPr>
          <w:ilvl w:val="0"/>
          <w:numId w:val="7"/>
        </w:numPr>
        <w:spacing w:before="156" w:beforeLines="50" w:after="156" w:afterLines="50" w:line="360" w:lineRule="auto"/>
        <w:ind w:right="238"/>
        <w:jc w:val="both"/>
        <w:rPr>
          <w:rFonts w:ascii="Times New Roman" w:hAnsi="Times New Roman"/>
          <w:sz w:val="24"/>
          <w:u w:val="single"/>
        </w:rPr>
      </w:pPr>
      <w:r>
        <w:rPr>
          <w:rFonts w:hint="eastAsia" w:ascii="Times New Roman" w:hAnsi="Times New Roman" w:eastAsia="宋体"/>
          <w:sz w:val="24"/>
          <w:szCs w:val="24"/>
        </w:rPr>
        <w:t>附加服务费用总额：</w:t>
      </w:r>
      <w:r>
        <w:rPr>
          <w:rFonts w:hint="eastAsia" w:ascii="Times New Roman" w:hAnsi="Times New Roman" w:eastAsia="宋体"/>
          <w:sz w:val="24"/>
          <w:szCs w:val="24"/>
          <w:u w:val="single"/>
        </w:rPr>
        <w:t xml:space="preserve">                      </w:t>
      </w:r>
    </w:p>
    <w:sectPr>
      <w:headerReference r:id="rId3" w:type="default"/>
      <w:footerReference r:id="rId4"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568394"/>
      <w:docPartObj>
        <w:docPartGallery w:val="autotext"/>
      </w:docPartObj>
    </w:sdtPr>
    <w:sdtEndPr>
      <w:rPr>
        <w:rFonts w:ascii="Times New Roman" w:hAnsi="Times New Roman" w:eastAsia="宋体"/>
      </w:rPr>
    </w:sdtEndPr>
    <w:sdtContent>
      <w:sdt>
        <w:sdtPr>
          <w:id w:val="1728636285"/>
          <w:docPartObj>
            <w:docPartGallery w:val="autotext"/>
          </w:docPartObj>
        </w:sdtPr>
        <w:sdtEndPr>
          <w:rPr>
            <w:rFonts w:ascii="Times New Roman" w:hAnsi="Times New Roman" w:eastAsia="宋体"/>
          </w:rPr>
        </w:sdtEndPr>
        <w:sdtContent>
          <w:p w14:paraId="6D84F1FA">
            <w:pPr>
              <w:pStyle w:val="7"/>
              <w:jc w:val="center"/>
              <w:rPr>
                <w:rFonts w:ascii="Times New Roman" w:hAnsi="Times New Roman"/>
              </w:rPr>
            </w:pPr>
            <w:r>
              <w:rPr>
                <w:rFonts w:ascii="Times New Roman" w:hAnsi="Times New Roman" w:eastAsia="宋体"/>
              </w:rPr>
              <w:t>第</w:t>
            </w:r>
            <w:r>
              <w:rPr>
                <w:rFonts w:ascii="Times New Roman" w:hAnsi="Times New Roman" w:eastAsia="宋体"/>
                <w:bCs/>
              </w:rPr>
              <w:fldChar w:fldCharType="begin"/>
            </w:r>
            <w:r>
              <w:rPr>
                <w:rFonts w:ascii="Times New Roman" w:hAnsi="Times New Roman" w:eastAsia="宋体"/>
                <w:bCs/>
              </w:rPr>
              <w:instrText xml:space="preserve">PAGE</w:instrText>
            </w:r>
            <w:r>
              <w:rPr>
                <w:rFonts w:ascii="Times New Roman" w:hAnsi="Times New Roman" w:eastAsia="宋体"/>
                <w:bCs/>
              </w:rPr>
              <w:fldChar w:fldCharType="separate"/>
            </w:r>
            <w:r>
              <w:rPr>
                <w:rFonts w:ascii="Times New Roman" w:hAnsi="Times New Roman" w:eastAsia="宋体"/>
                <w:bCs/>
              </w:rPr>
              <w:t>2</w:t>
            </w:r>
            <w:r>
              <w:rPr>
                <w:rFonts w:ascii="Times New Roman" w:hAnsi="Times New Roman" w:eastAsia="宋体"/>
                <w:bCs/>
              </w:rPr>
              <w:fldChar w:fldCharType="end"/>
            </w:r>
            <w:r>
              <w:rPr>
                <w:rFonts w:ascii="Times New Roman" w:hAnsi="Times New Roman" w:eastAsia="宋体"/>
                <w:bCs/>
              </w:rPr>
              <w:t>页，</w:t>
            </w:r>
            <w:r>
              <w:rPr>
                <w:rFonts w:ascii="Times New Roman" w:hAnsi="Times New Roman" w:eastAsia="宋体"/>
                <w:lang w:val="zh-CN"/>
              </w:rPr>
              <w:t>共</w:t>
            </w:r>
            <w:r>
              <w:rPr>
                <w:rFonts w:ascii="Times New Roman" w:hAnsi="Times New Roman" w:eastAsia="宋体"/>
                <w:bCs/>
              </w:rPr>
              <w:fldChar w:fldCharType="begin"/>
            </w:r>
            <w:r>
              <w:rPr>
                <w:rFonts w:ascii="Times New Roman" w:hAnsi="Times New Roman" w:eastAsia="宋体"/>
                <w:bCs/>
              </w:rPr>
              <w:instrText xml:space="preserve">NUMPAGES</w:instrText>
            </w:r>
            <w:r>
              <w:rPr>
                <w:rFonts w:ascii="Times New Roman" w:hAnsi="Times New Roman" w:eastAsia="宋体"/>
                <w:bCs/>
              </w:rPr>
              <w:fldChar w:fldCharType="separate"/>
            </w:r>
            <w:r>
              <w:rPr>
                <w:rFonts w:ascii="Times New Roman" w:hAnsi="Times New Roman" w:eastAsia="宋体"/>
                <w:bCs/>
              </w:rPr>
              <w:t>16</w:t>
            </w:r>
            <w:r>
              <w:rPr>
                <w:rFonts w:ascii="Times New Roman" w:hAnsi="Times New Roman" w:eastAsia="宋体"/>
                <w:bCs/>
              </w:rPr>
              <w:fldChar w:fldCharType="end"/>
            </w:r>
            <w:r>
              <w:rPr>
                <w:rFonts w:ascii="Times New Roman" w:hAnsi="Times New Roman" w:eastAsia="宋体"/>
                <w:bCs/>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14C7">
    <w:pPr>
      <w:pStyle w:val="8"/>
      <w:jc w:val="both"/>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DA668"/>
    <w:multiLevelType w:val="singleLevel"/>
    <w:tmpl w:val="E49DA668"/>
    <w:lvl w:ilvl="0" w:tentative="0">
      <w:start w:val="11"/>
      <w:numFmt w:val="chineseCounting"/>
      <w:suff w:val="space"/>
      <w:lvlText w:val="第%1条"/>
      <w:lvlJc w:val="left"/>
      <w:rPr>
        <w:rFonts w:hint="eastAsia"/>
      </w:rPr>
    </w:lvl>
  </w:abstractNum>
  <w:abstractNum w:abstractNumId="1">
    <w:nsid w:val="2B866FCD"/>
    <w:multiLevelType w:val="multilevel"/>
    <w:tmpl w:val="2B866FCD"/>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01E39"/>
    <w:multiLevelType w:val="multilevel"/>
    <w:tmpl w:val="36201E3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45B57E2A"/>
    <w:multiLevelType w:val="multilevel"/>
    <w:tmpl w:val="45B57E2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Calibri" w:hAnsi="Calibri" w:cs="Calibri"/>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2C750AF"/>
    <w:multiLevelType w:val="multilevel"/>
    <w:tmpl w:val="52C750AF"/>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222015"/>
    <w:multiLevelType w:val="multilevel"/>
    <w:tmpl w:val="74222015"/>
    <w:lvl w:ilvl="0" w:tentative="0">
      <w:start w:val="1"/>
      <w:numFmt w:val="chineseCountingThousand"/>
      <w:suff w:val="space"/>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177EB9"/>
    <w:multiLevelType w:val="multilevel"/>
    <w:tmpl w:val="7B177EB9"/>
    <w:lvl w:ilvl="0" w:tentative="0">
      <w:start w:val="6"/>
      <w:numFmt w:val="decimal"/>
      <w:lvlText w:val="（%1）"/>
      <w:lvlJc w:val="left"/>
      <w:pPr>
        <w:ind w:left="1215" w:hanging="720"/>
      </w:pPr>
      <w:rPr>
        <w:rFonts w:hint="default"/>
      </w:rPr>
    </w:lvl>
    <w:lvl w:ilvl="1" w:tentative="0">
      <w:start w:val="1"/>
      <w:numFmt w:val="lowerLetter"/>
      <w:lvlText w:val="%2)"/>
      <w:lvlJc w:val="left"/>
      <w:pPr>
        <w:ind w:left="1335" w:hanging="420"/>
      </w:p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89779E"/>
    <w:rsid w:val="00016D36"/>
    <w:rsid w:val="0002111C"/>
    <w:rsid w:val="00025F91"/>
    <w:rsid w:val="00040555"/>
    <w:rsid w:val="0004543A"/>
    <w:rsid w:val="00062474"/>
    <w:rsid w:val="00076E9E"/>
    <w:rsid w:val="000B14E5"/>
    <w:rsid w:val="000B5AEF"/>
    <w:rsid w:val="000B7F7C"/>
    <w:rsid w:val="000C32EA"/>
    <w:rsid w:val="000C446D"/>
    <w:rsid w:val="000C5A36"/>
    <w:rsid w:val="000D7612"/>
    <w:rsid w:val="000E3E0C"/>
    <w:rsid w:val="000E4513"/>
    <w:rsid w:val="000E7458"/>
    <w:rsid w:val="000F3150"/>
    <w:rsid w:val="000F636C"/>
    <w:rsid w:val="00101878"/>
    <w:rsid w:val="00101A1D"/>
    <w:rsid w:val="001023D5"/>
    <w:rsid w:val="00114574"/>
    <w:rsid w:val="001165E8"/>
    <w:rsid w:val="0012199A"/>
    <w:rsid w:val="001268FD"/>
    <w:rsid w:val="00126EAF"/>
    <w:rsid w:val="00131F0C"/>
    <w:rsid w:val="00135D89"/>
    <w:rsid w:val="00142ED6"/>
    <w:rsid w:val="00151D13"/>
    <w:rsid w:val="0015269F"/>
    <w:rsid w:val="00172979"/>
    <w:rsid w:val="0018113C"/>
    <w:rsid w:val="00185918"/>
    <w:rsid w:val="00190FEA"/>
    <w:rsid w:val="001B17F2"/>
    <w:rsid w:val="001B19AE"/>
    <w:rsid w:val="001C106E"/>
    <w:rsid w:val="001C3062"/>
    <w:rsid w:val="001C54BF"/>
    <w:rsid w:val="001C5659"/>
    <w:rsid w:val="001D4912"/>
    <w:rsid w:val="001E1C2A"/>
    <w:rsid w:val="001F2842"/>
    <w:rsid w:val="00206410"/>
    <w:rsid w:val="00216A19"/>
    <w:rsid w:val="00221FE0"/>
    <w:rsid w:val="00227D96"/>
    <w:rsid w:val="00232515"/>
    <w:rsid w:val="00256937"/>
    <w:rsid w:val="00281FDD"/>
    <w:rsid w:val="00282DBF"/>
    <w:rsid w:val="00284840"/>
    <w:rsid w:val="00290F2B"/>
    <w:rsid w:val="002B3C8B"/>
    <w:rsid w:val="002B3DF2"/>
    <w:rsid w:val="002C0578"/>
    <w:rsid w:val="002C4366"/>
    <w:rsid w:val="002C593E"/>
    <w:rsid w:val="002C7337"/>
    <w:rsid w:val="002D1981"/>
    <w:rsid w:val="002D44B0"/>
    <w:rsid w:val="002D5E6B"/>
    <w:rsid w:val="00307433"/>
    <w:rsid w:val="00311362"/>
    <w:rsid w:val="0032573D"/>
    <w:rsid w:val="00334F2A"/>
    <w:rsid w:val="00352C86"/>
    <w:rsid w:val="003551CD"/>
    <w:rsid w:val="003710C5"/>
    <w:rsid w:val="00380226"/>
    <w:rsid w:val="003C45A1"/>
    <w:rsid w:val="003C642C"/>
    <w:rsid w:val="003C6CED"/>
    <w:rsid w:val="003D1ECD"/>
    <w:rsid w:val="003D222E"/>
    <w:rsid w:val="003E12A0"/>
    <w:rsid w:val="003E1BC5"/>
    <w:rsid w:val="003F6E07"/>
    <w:rsid w:val="00411DCD"/>
    <w:rsid w:val="004141ED"/>
    <w:rsid w:val="00421546"/>
    <w:rsid w:val="00424CBD"/>
    <w:rsid w:val="004260DB"/>
    <w:rsid w:val="00437233"/>
    <w:rsid w:val="00442E26"/>
    <w:rsid w:val="004433CA"/>
    <w:rsid w:val="004611FE"/>
    <w:rsid w:val="00466AA5"/>
    <w:rsid w:val="00480578"/>
    <w:rsid w:val="00480CE9"/>
    <w:rsid w:val="00484596"/>
    <w:rsid w:val="00487E87"/>
    <w:rsid w:val="0049125E"/>
    <w:rsid w:val="004B0E34"/>
    <w:rsid w:val="004B5554"/>
    <w:rsid w:val="004C000E"/>
    <w:rsid w:val="004D06D7"/>
    <w:rsid w:val="004D1075"/>
    <w:rsid w:val="004D3225"/>
    <w:rsid w:val="004D5A83"/>
    <w:rsid w:val="004D60FC"/>
    <w:rsid w:val="004E3592"/>
    <w:rsid w:val="004E6C2C"/>
    <w:rsid w:val="004F0888"/>
    <w:rsid w:val="004F7A3E"/>
    <w:rsid w:val="0051438F"/>
    <w:rsid w:val="00521AD7"/>
    <w:rsid w:val="00522D74"/>
    <w:rsid w:val="00523B56"/>
    <w:rsid w:val="00526F3A"/>
    <w:rsid w:val="00533A1A"/>
    <w:rsid w:val="00535C62"/>
    <w:rsid w:val="0054367C"/>
    <w:rsid w:val="00546D8B"/>
    <w:rsid w:val="00561DA6"/>
    <w:rsid w:val="00571AEF"/>
    <w:rsid w:val="005865C5"/>
    <w:rsid w:val="00592EF4"/>
    <w:rsid w:val="005A0385"/>
    <w:rsid w:val="005A1CC4"/>
    <w:rsid w:val="005A28B2"/>
    <w:rsid w:val="005A5043"/>
    <w:rsid w:val="005A515D"/>
    <w:rsid w:val="005C3342"/>
    <w:rsid w:val="005D6577"/>
    <w:rsid w:val="005F0F6C"/>
    <w:rsid w:val="005F22A7"/>
    <w:rsid w:val="005F4031"/>
    <w:rsid w:val="005F799B"/>
    <w:rsid w:val="0060217C"/>
    <w:rsid w:val="00620431"/>
    <w:rsid w:val="00624061"/>
    <w:rsid w:val="00627A04"/>
    <w:rsid w:val="00644CD7"/>
    <w:rsid w:val="00644EF9"/>
    <w:rsid w:val="00647D0A"/>
    <w:rsid w:val="00655913"/>
    <w:rsid w:val="00655F8C"/>
    <w:rsid w:val="0067132D"/>
    <w:rsid w:val="00680014"/>
    <w:rsid w:val="00683EE5"/>
    <w:rsid w:val="006A3052"/>
    <w:rsid w:val="006B360B"/>
    <w:rsid w:val="006B604E"/>
    <w:rsid w:val="006D52EE"/>
    <w:rsid w:val="006E2D0F"/>
    <w:rsid w:val="006E3A03"/>
    <w:rsid w:val="007013BF"/>
    <w:rsid w:val="0071526D"/>
    <w:rsid w:val="00717B19"/>
    <w:rsid w:val="00740748"/>
    <w:rsid w:val="0074137E"/>
    <w:rsid w:val="00745FCE"/>
    <w:rsid w:val="0074795F"/>
    <w:rsid w:val="00763A86"/>
    <w:rsid w:val="00765592"/>
    <w:rsid w:val="007752D6"/>
    <w:rsid w:val="00797026"/>
    <w:rsid w:val="007B6C55"/>
    <w:rsid w:val="007C0835"/>
    <w:rsid w:val="007C144F"/>
    <w:rsid w:val="007C4985"/>
    <w:rsid w:val="007C53B3"/>
    <w:rsid w:val="007C5D23"/>
    <w:rsid w:val="007D1DA3"/>
    <w:rsid w:val="007D429D"/>
    <w:rsid w:val="007D5AFD"/>
    <w:rsid w:val="007E6BC3"/>
    <w:rsid w:val="008058C5"/>
    <w:rsid w:val="00807E76"/>
    <w:rsid w:val="008120FA"/>
    <w:rsid w:val="008248D4"/>
    <w:rsid w:val="008369B2"/>
    <w:rsid w:val="00837DB6"/>
    <w:rsid w:val="00842C65"/>
    <w:rsid w:val="00865554"/>
    <w:rsid w:val="00873D9B"/>
    <w:rsid w:val="00875B17"/>
    <w:rsid w:val="0087640B"/>
    <w:rsid w:val="0089554F"/>
    <w:rsid w:val="0089779E"/>
    <w:rsid w:val="008A54AC"/>
    <w:rsid w:val="008B63D3"/>
    <w:rsid w:val="008C08AF"/>
    <w:rsid w:val="008C35DD"/>
    <w:rsid w:val="008D43C2"/>
    <w:rsid w:val="008D4992"/>
    <w:rsid w:val="008D6C26"/>
    <w:rsid w:val="008E2619"/>
    <w:rsid w:val="008E35F8"/>
    <w:rsid w:val="008E69B0"/>
    <w:rsid w:val="008F1470"/>
    <w:rsid w:val="0090701A"/>
    <w:rsid w:val="00913752"/>
    <w:rsid w:val="00917DF8"/>
    <w:rsid w:val="00921847"/>
    <w:rsid w:val="009246C6"/>
    <w:rsid w:val="009253F4"/>
    <w:rsid w:val="00926955"/>
    <w:rsid w:val="00942910"/>
    <w:rsid w:val="00945D29"/>
    <w:rsid w:val="00946807"/>
    <w:rsid w:val="00947C48"/>
    <w:rsid w:val="00950CB3"/>
    <w:rsid w:val="00952F63"/>
    <w:rsid w:val="009776C6"/>
    <w:rsid w:val="00984BF3"/>
    <w:rsid w:val="00994CB9"/>
    <w:rsid w:val="009A3233"/>
    <w:rsid w:val="009B52F3"/>
    <w:rsid w:val="009C7264"/>
    <w:rsid w:val="009D680E"/>
    <w:rsid w:val="009E1A9B"/>
    <w:rsid w:val="009E293B"/>
    <w:rsid w:val="009E5699"/>
    <w:rsid w:val="009F3CB3"/>
    <w:rsid w:val="00A1249C"/>
    <w:rsid w:val="00A30764"/>
    <w:rsid w:val="00A41903"/>
    <w:rsid w:val="00A542F6"/>
    <w:rsid w:val="00A550C7"/>
    <w:rsid w:val="00A60856"/>
    <w:rsid w:val="00A62294"/>
    <w:rsid w:val="00A76B42"/>
    <w:rsid w:val="00AA3926"/>
    <w:rsid w:val="00AC0BB9"/>
    <w:rsid w:val="00AD3AA5"/>
    <w:rsid w:val="00AD518C"/>
    <w:rsid w:val="00AE06F6"/>
    <w:rsid w:val="00AE0ECE"/>
    <w:rsid w:val="00AF0665"/>
    <w:rsid w:val="00B0360F"/>
    <w:rsid w:val="00B0582F"/>
    <w:rsid w:val="00B11747"/>
    <w:rsid w:val="00B2487D"/>
    <w:rsid w:val="00B25382"/>
    <w:rsid w:val="00B324CF"/>
    <w:rsid w:val="00B434EF"/>
    <w:rsid w:val="00B44F60"/>
    <w:rsid w:val="00B57C61"/>
    <w:rsid w:val="00B6585F"/>
    <w:rsid w:val="00B81581"/>
    <w:rsid w:val="00B9373F"/>
    <w:rsid w:val="00B95989"/>
    <w:rsid w:val="00BA740C"/>
    <w:rsid w:val="00BA7EB5"/>
    <w:rsid w:val="00BB1BB4"/>
    <w:rsid w:val="00BB77BE"/>
    <w:rsid w:val="00BC548D"/>
    <w:rsid w:val="00BD0009"/>
    <w:rsid w:val="00BD4EFA"/>
    <w:rsid w:val="00BE25BA"/>
    <w:rsid w:val="00BE2868"/>
    <w:rsid w:val="00BE344D"/>
    <w:rsid w:val="00BE3595"/>
    <w:rsid w:val="00BF4A94"/>
    <w:rsid w:val="00C02933"/>
    <w:rsid w:val="00C06AD1"/>
    <w:rsid w:val="00C07BB1"/>
    <w:rsid w:val="00C15376"/>
    <w:rsid w:val="00C15FD8"/>
    <w:rsid w:val="00C27D19"/>
    <w:rsid w:val="00C320FB"/>
    <w:rsid w:val="00C33688"/>
    <w:rsid w:val="00C34930"/>
    <w:rsid w:val="00C3731E"/>
    <w:rsid w:val="00C41BAA"/>
    <w:rsid w:val="00C54F80"/>
    <w:rsid w:val="00C55D1B"/>
    <w:rsid w:val="00C65862"/>
    <w:rsid w:val="00C67D98"/>
    <w:rsid w:val="00C73182"/>
    <w:rsid w:val="00C762F7"/>
    <w:rsid w:val="00C90EEF"/>
    <w:rsid w:val="00CA058C"/>
    <w:rsid w:val="00CA52FD"/>
    <w:rsid w:val="00CB593A"/>
    <w:rsid w:val="00CC08C8"/>
    <w:rsid w:val="00CD03DD"/>
    <w:rsid w:val="00CF7BB0"/>
    <w:rsid w:val="00D00D26"/>
    <w:rsid w:val="00D121E9"/>
    <w:rsid w:val="00D177CA"/>
    <w:rsid w:val="00D30A2C"/>
    <w:rsid w:val="00D323BB"/>
    <w:rsid w:val="00D33799"/>
    <w:rsid w:val="00D36111"/>
    <w:rsid w:val="00D408C4"/>
    <w:rsid w:val="00D50A6A"/>
    <w:rsid w:val="00D57EAC"/>
    <w:rsid w:val="00D60501"/>
    <w:rsid w:val="00D6102C"/>
    <w:rsid w:val="00D620D3"/>
    <w:rsid w:val="00D70CFC"/>
    <w:rsid w:val="00D812B3"/>
    <w:rsid w:val="00D876ED"/>
    <w:rsid w:val="00D87CBE"/>
    <w:rsid w:val="00D92BB9"/>
    <w:rsid w:val="00D97847"/>
    <w:rsid w:val="00DA1A35"/>
    <w:rsid w:val="00DA73BE"/>
    <w:rsid w:val="00DB7595"/>
    <w:rsid w:val="00DC12BC"/>
    <w:rsid w:val="00DC5490"/>
    <w:rsid w:val="00DC655C"/>
    <w:rsid w:val="00DC65DB"/>
    <w:rsid w:val="00DC6829"/>
    <w:rsid w:val="00DD1F59"/>
    <w:rsid w:val="00DD5351"/>
    <w:rsid w:val="00DE1620"/>
    <w:rsid w:val="00DE6EA6"/>
    <w:rsid w:val="00DF3B54"/>
    <w:rsid w:val="00DF5B5E"/>
    <w:rsid w:val="00E22971"/>
    <w:rsid w:val="00E250E7"/>
    <w:rsid w:val="00E25341"/>
    <w:rsid w:val="00E4023F"/>
    <w:rsid w:val="00E45F9F"/>
    <w:rsid w:val="00E54F95"/>
    <w:rsid w:val="00E57B6E"/>
    <w:rsid w:val="00E62419"/>
    <w:rsid w:val="00E74AD6"/>
    <w:rsid w:val="00E76D5D"/>
    <w:rsid w:val="00E90046"/>
    <w:rsid w:val="00E92AD3"/>
    <w:rsid w:val="00E93C76"/>
    <w:rsid w:val="00EC4E10"/>
    <w:rsid w:val="00EC549A"/>
    <w:rsid w:val="00ED1BB5"/>
    <w:rsid w:val="00ED4CEB"/>
    <w:rsid w:val="00EE123F"/>
    <w:rsid w:val="00EE35D1"/>
    <w:rsid w:val="00EF1750"/>
    <w:rsid w:val="00EF4E70"/>
    <w:rsid w:val="00EF5918"/>
    <w:rsid w:val="00F0171B"/>
    <w:rsid w:val="00F12B8E"/>
    <w:rsid w:val="00F145ED"/>
    <w:rsid w:val="00F26219"/>
    <w:rsid w:val="00F318B2"/>
    <w:rsid w:val="00F650AE"/>
    <w:rsid w:val="00F7258E"/>
    <w:rsid w:val="00F767E8"/>
    <w:rsid w:val="00F836D6"/>
    <w:rsid w:val="00F854A6"/>
    <w:rsid w:val="00F85FCA"/>
    <w:rsid w:val="00FA70F3"/>
    <w:rsid w:val="00FB12AD"/>
    <w:rsid w:val="00FC33E6"/>
    <w:rsid w:val="00FC4D57"/>
    <w:rsid w:val="00FD3E40"/>
    <w:rsid w:val="00FF165A"/>
    <w:rsid w:val="00FF6B93"/>
    <w:rsid w:val="02A227A1"/>
    <w:rsid w:val="02FD0291"/>
    <w:rsid w:val="032E27F8"/>
    <w:rsid w:val="050339CA"/>
    <w:rsid w:val="051C683A"/>
    <w:rsid w:val="05850883"/>
    <w:rsid w:val="06E415DA"/>
    <w:rsid w:val="072916E2"/>
    <w:rsid w:val="08FD4BD5"/>
    <w:rsid w:val="0ACB7694"/>
    <w:rsid w:val="0C2D57D1"/>
    <w:rsid w:val="0EC56195"/>
    <w:rsid w:val="0EF32D02"/>
    <w:rsid w:val="0FFB0C72"/>
    <w:rsid w:val="10095D5E"/>
    <w:rsid w:val="10BE4C49"/>
    <w:rsid w:val="11DB6121"/>
    <w:rsid w:val="12F42BA4"/>
    <w:rsid w:val="14B16888"/>
    <w:rsid w:val="16B44B64"/>
    <w:rsid w:val="1BC947C4"/>
    <w:rsid w:val="1CD53267"/>
    <w:rsid w:val="1F5C21FD"/>
    <w:rsid w:val="20077F0A"/>
    <w:rsid w:val="21091417"/>
    <w:rsid w:val="21394732"/>
    <w:rsid w:val="21937A2C"/>
    <w:rsid w:val="219534F7"/>
    <w:rsid w:val="22F62969"/>
    <w:rsid w:val="237308A7"/>
    <w:rsid w:val="28017DE6"/>
    <w:rsid w:val="282835C4"/>
    <w:rsid w:val="2C5C26BF"/>
    <w:rsid w:val="2C6E531E"/>
    <w:rsid w:val="2FCA4508"/>
    <w:rsid w:val="30DA5678"/>
    <w:rsid w:val="30EA7146"/>
    <w:rsid w:val="312863E3"/>
    <w:rsid w:val="31AA272E"/>
    <w:rsid w:val="31ED43DC"/>
    <w:rsid w:val="33264BA4"/>
    <w:rsid w:val="33A45AC9"/>
    <w:rsid w:val="351C0AC4"/>
    <w:rsid w:val="35FA5FFB"/>
    <w:rsid w:val="373B6744"/>
    <w:rsid w:val="382E539C"/>
    <w:rsid w:val="38451629"/>
    <w:rsid w:val="384A6C3F"/>
    <w:rsid w:val="39E5114C"/>
    <w:rsid w:val="3A157721"/>
    <w:rsid w:val="3A43603C"/>
    <w:rsid w:val="3CB94393"/>
    <w:rsid w:val="3DA70690"/>
    <w:rsid w:val="3DD17BF5"/>
    <w:rsid w:val="41597EF3"/>
    <w:rsid w:val="42B61B01"/>
    <w:rsid w:val="43A04D63"/>
    <w:rsid w:val="449D0A3E"/>
    <w:rsid w:val="4977525D"/>
    <w:rsid w:val="4A0C644A"/>
    <w:rsid w:val="4AD11442"/>
    <w:rsid w:val="4F0A0A7E"/>
    <w:rsid w:val="517D5E7F"/>
    <w:rsid w:val="51A81E8D"/>
    <w:rsid w:val="53D600B5"/>
    <w:rsid w:val="547F5A6B"/>
    <w:rsid w:val="548D63DA"/>
    <w:rsid w:val="557E04D0"/>
    <w:rsid w:val="56C87B9D"/>
    <w:rsid w:val="573F0AC3"/>
    <w:rsid w:val="595A2602"/>
    <w:rsid w:val="5BB701E0"/>
    <w:rsid w:val="5E1B4A56"/>
    <w:rsid w:val="5E3B6EA6"/>
    <w:rsid w:val="612C00B1"/>
    <w:rsid w:val="62540537"/>
    <w:rsid w:val="63C45248"/>
    <w:rsid w:val="643E149E"/>
    <w:rsid w:val="6621467A"/>
    <w:rsid w:val="68CC2B67"/>
    <w:rsid w:val="68E343C2"/>
    <w:rsid w:val="6E4B14A6"/>
    <w:rsid w:val="6E4E6FA7"/>
    <w:rsid w:val="70A66027"/>
    <w:rsid w:val="73243F55"/>
    <w:rsid w:val="733817AF"/>
    <w:rsid w:val="73DE2356"/>
    <w:rsid w:val="79FC7092"/>
    <w:rsid w:val="7A2612A3"/>
    <w:rsid w:val="7AE91D0C"/>
    <w:rsid w:val="7B1D759B"/>
    <w:rsid w:val="7BE8029D"/>
    <w:rsid w:val="7D580A83"/>
    <w:rsid w:val="7E074257"/>
    <w:rsid w:val="7F106A79"/>
    <w:rsid w:val="7F182BC0"/>
    <w:rsid w:val="7F637BB3"/>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微软雅黑"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both"/>
    </w:pPr>
  </w:style>
  <w:style w:type="paragraph" w:styleId="3">
    <w:name w:val="Normal Indent"/>
    <w:basedOn w:val="1"/>
    <w:qFormat/>
    <w:uiPriority w:val="99"/>
    <w:pPr>
      <w:widowControl w:val="0"/>
      <w:ind w:firstLine="420" w:firstLineChars="200"/>
      <w:jc w:val="both"/>
    </w:pPr>
    <w:rPr>
      <w:rFonts w:ascii="Times New Roman" w:hAnsi="Times New Roman" w:eastAsia="宋体"/>
      <w:szCs w:val="24"/>
    </w:rPr>
  </w:style>
  <w:style w:type="paragraph" w:styleId="4">
    <w:name w:val="annotation text"/>
    <w:basedOn w:val="1"/>
    <w:link w:val="19"/>
    <w:unhideWhenUsed/>
    <w:qFormat/>
    <w:uiPriority w:val="99"/>
  </w:style>
  <w:style w:type="paragraph" w:styleId="5">
    <w:name w:val="Body Text Indent"/>
    <w:basedOn w:val="1"/>
    <w:qFormat/>
    <w:uiPriority w:val="0"/>
    <w:pPr>
      <w:tabs>
        <w:tab w:val="left" w:pos="1800"/>
      </w:tabs>
      <w:ind w:left="1080"/>
      <w:jc w:val="both"/>
    </w:pPr>
  </w:style>
  <w:style w:type="paragraph" w:styleId="6">
    <w:name w:val="Balloon Text"/>
    <w:basedOn w:val="1"/>
    <w:link w:val="22"/>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10">
    <w:name w:val="Normal (Web)"/>
    <w:basedOn w:val="1"/>
    <w:qFormat/>
    <w:uiPriority w:val="99"/>
    <w:pPr>
      <w:spacing w:before="100" w:beforeAutospacing="1" w:after="100" w:afterAutospacing="1"/>
    </w:pPr>
    <w:rPr>
      <w:rFonts w:ascii="宋体" w:hAnsi="宋体" w:eastAsia="宋体" w:cs="宋体"/>
      <w:kern w:val="0"/>
      <w:sz w:val="24"/>
      <w:szCs w:val="24"/>
    </w:rPr>
  </w:style>
  <w:style w:type="paragraph" w:styleId="11">
    <w:name w:val="annotation subject"/>
    <w:basedOn w:val="4"/>
    <w:next w:val="4"/>
    <w:link w:val="2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sz w:val="18"/>
      <w:szCs w:val="18"/>
    </w:rPr>
  </w:style>
  <w:style w:type="character" w:customStyle="1" w:styleId="17">
    <w:name w:val="页脚 字符"/>
    <w:basedOn w:val="14"/>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4"/>
    <w:link w:val="4"/>
    <w:qFormat/>
    <w:uiPriority w:val="99"/>
    <w:rPr>
      <w:rFonts w:ascii="Calibri" w:hAnsi="Calibri" w:eastAsia="微软雅黑" w:cs="Times New Roman"/>
    </w:rPr>
  </w:style>
  <w:style w:type="character" w:customStyle="1" w:styleId="20">
    <w:name w:val="HTML 预设格式 字符"/>
    <w:basedOn w:val="14"/>
    <w:link w:val="9"/>
    <w:qFormat/>
    <w:uiPriority w:val="99"/>
    <w:rPr>
      <w:rFonts w:ascii="宋体" w:hAnsi="宋体" w:eastAsia="宋体" w:cs="宋体"/>
      <w:kern w:val="0"/>
      <w:sz w:val="24"/>
      <w:szCs w:val="24"/>
    </w:rPr>
  </w:style>
  <w:style w:type="character" w:customStyle="1" w:styleId="21">
    <w:name w:val="批注主题 字符"/>
    <w:basedOn w:val="19"/>
    <w:link w:val="11"/>
    <w:semiHidden/>
    <w:qFormat/>
    <w:uiPriority w:val="99"/>
    <w:rPr>
      <w:rFonts w:ascii="Calibri" w:hAnsi="Calibri" w:eastAsia="微软雅黑" w:cs="Times New Roman"/>
      <w:b/>
      <w:bCs/>
    </w:rPr>
  </w:style>
  <w:style w:type="character" w:customStyle="1" w:styleId="22">
    <w:name w:val="批注框文本 字符"/>
    <w:basedOn w:val="14"/>
    <w:link w:val="6"/>
    <w:semiHidden/>
    <w:qFormat/>
    <w:uiPriority w:val="99"/>
    <w:rPr>
      <w:rFonts w:ascii="Calibri" w:hAnsi="Calibri" w:eastAsia="微软雅黑" w:cs="Times New Roman"/>
      <w:sz w:val="18"/>
      <w:szCs w:val="18"/>
    </w:rPr>
  </w:style>
  <w:style w:type="paragraph" w:customStyle="1" w:styleId="23">
    <w:name w:val="Revision"/>
    <w:hidden/>
    <w:semiHidden/>
    <w:qFormat/>
    <w:uiPriority w:val="99"/>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51B4-C686-42DF-8494-C75658FC3F1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8584</Words>
  <Characters>8893</Characters>
  <Lines>76</Lines>
  <Paragraphs>21</Paragraphs>
  <TotalTime>0</TotalTime>
  <ScaleCrop>false</ScaleCrop>
  <LinksUpToDate>false</LinksUpToDate>
  <CharactersWithSpaces>9185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2018-07-06T02:13:00Z</dcterms:created>
  <dc:creator>Administrator</dc:creator>
  <cp:lastModifiedBy>he</cp:lastModifiedBy>
  <dcterms:modified xsi:type="dcterms:W3CDTF">2025-01-17T07:29:33Z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2559C7D6F8734070958AB6C36D0E8F7A</vt:lpwstr>
  </property>
  <property fmtid="{D5CDD505-2E9C-101B-9397-08002B2CF9AE}" pid="4" name="KSOTemplateDocerSaveRecord">
    <vt:lpwstr>eyJoZGlkIjoiYWU4YjlmN2U3MDg4YTc5OTlhZTQxYTYxOTRiNDc3ZWYiLCJ1c2VySWQiOiI1MjI1MDE2MzEifQ==</vt:lpwstr>
  </property>
</Properties>
</file>