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9405D">
      <w:pPr>
        <w:keepNext w:val="0"/>
        <w:keepLines w:val="0"/>
        <w:pageBreakBefore w:val="0"/>
        <w:kinsoku/>
        <w:wordWrap/>
        <w:overflowPunct/>
        <w:topLinePunct w:val="0"/>
        <w:autoSpaceDE/>
        <w:autoSpaceDN/>
        <w:bidi w:val="0"/>
        <w:adjustRightInd/>
        <w:spacing w:line="520" w:lineRule="exact"/>
        <w:ind w:firstLine="3975" w:firstLineChars="1100"/>
        <w:jc w:val="both"/>
        <w:rPr>
          <w:rFonts w:hint="eastAsia" w:ascii="宋体" w:hAnsi="宋体" w:eastAsia="宋体" w:cs="宋体"/>
          <w:b/>
          <w:bCs/>
          <w:sz w:val="36"/>
          <w:szCs w:val="36"/>
        </w:rPr>
      </w:pPr>
      <w:r>
        <w:rPr>
          <w:rFonts w:hint="eastAsia" w:ascii="宋体" w:hAnsi="宋体" w:eastAsia="宋体" w:cs="宋体"/>
          <w:b/>
          <w:bCs/>
          <w:sz w:val="36"/>
          <w:szCs w:val="36"/>
        </w:rPr>
        <w:t>仓储服务合同</w:t>
      </w:r>
    </w:p>
    <w:p w14:paraId="3D1CDC58">
      <w:pPr>
        <w:keepNext w:val="0"/>
        <w:keepLines w:val="0"/>
        <w:pageBreakBefore w:val="0"/>
        <w:kinsoku/>
        <w:wordWrap/>
        <w:overflowPunct/>
        <w:topLinePunct w:val="0"/>
        <w:autoSpaceDE/>
        <w:autoSpaceDN/>
        <w:bidi w:val="0"/>
        <w:adjustRightInd/>
        <w:spacing w:line="520" w:lineRule="exact"/>
        <w:ind w:firstLine="6480" w:firstLineChars="27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合同编号：【              】号</w:t>
      </w:r>
    </w:p>
    <w:p w14:paraId="2E226174">
      <w:pPr>
        <w:keepNext w:val="0"/>
        <w:keepLines w:val="0"/>
        <w:pageBreakBefore w:val="0"/>
        <w:kinsoku/>
        <w:wordWrap/>
        <w:overflowPunct/>
        <w:topLinePunct w:val="0"/>
        <w:autoSpaceDE/>
        <w:autoSpaceDN/>
        <w:bidi w:val="0"/>
        <w:adjustRightInd/>
        <w:spacing w:line="520" w:lineRule="exact"/>
        <w:ind w:firstLine="6480" w:firstLineChars="27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签署日期：【                】</w:t>
      </w:r>
    </w:p>
    <w:p w14:paraId="73792D33">
      <w:pPr>
        <w:keepNext w:val="0"/>
        <w:keepLines w:val="0"/>
        <w:pageBreakBefore w:val="0"/>
        <w:kinsoku/>
        <w:wordWrap/>
        <w:overflowPunct/>
        <w:topLinePunct w:val="0"/>
        <w:autoSpaceDE/>
        <w:autoSpaceDN/>
        <w:bidi w:val="0"/>
        <w:adjustRightInd/>
        <w:spacing w:line="520" w:lineRule="exact"/>
        <w:ind w:firstLine="6480" w:firstLineChars="27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签署地点：【    】市【    】区</w:t>
      </w:r>
    </w:p>
    <w:p w14:paraId="27457332">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lang w:val="en-US" w:eastAsia="zh-CN"/>
        </w:rPr>
      </w:pPr>
    </w:p>
    <w:p w14:paraId="7C5BA6D3">
      <w:pPr>
        <w:keepNext w:val="0"/>
        <w:keepLines w:val="0"/>
        <w:pageBreakBefore w:val="0"/>
        <w:kinsoku/>
        <w:wordWrap/>
        <w:overflowPunct/>
        <w:topLinePunct w:val="0"/>
        <w:autoSpaceDE/>
        <w:autoSpaceDN/>
        <w:bidi w:val="0"/>
        <w:adjustRightInd/>
        <w:spacing w:line="52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rPr>
        <w:t>甲方</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委托方</w:t>
      </w:r>
      <w:r>
        <w:rPr>
          <w:rFonts w:hint="eastAsia" w:ascii="宋体" w:hAnsi="宋体" w:eastAsia="宋体" w:cs="宋体"/>
          <w:b/>
          <w:bCs/>
          <w:sz w:val="24"/>
          <w:szCs w:val="24"/>
          <w:lang w:eastAsia="zh-CN"/>
        </w:rPr>
        <w:t>）</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          】</w:t>
      </w:r>
    </w:p>
    <w:p w14:paraId="7292E653">
      <w:pPr>
        <w:keepNext w:val="0"/>
        <w:keepLines w:val="0"/>
        <w:pageBreakBefore w:val="0"/>
        <w:kinsoku/>
        <w:wordWrap/>
        <w:overflowPunct/>
        <w:topLinePunct w:val="0"/>
        <w:autoSpaceDE/>
        <w:autoSpaceDN/>
        <w:bidi w:val="0"/>
        <w:adjustRightInd/>
        <w:spacing w:line="520" w:lineRule="exact"/>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rPr>
        <w:t>乙方</w:t>
      </w:r>
      <w:r>
        <w:rPr>
          <w:rFonts w:hint="eastAsia" w:ascii="宋体" w:hAnsi="宋体" w:eastAsia="宋体" w:cs="宋体"/>
          <w:b/>
          <w:bCs/>
          <w:sz w:val="24"/>
          <w:szCs w:val="24"/>
          <w:lang w:eastAsia="zh-CN"/>
        </w:rPr>
        <w:t>（服务</w:t>
      </w:r>
      <w:r>
        <w:rPr>
          <w:rFonts w:hint="eastAsia" w:ascii="宋体" w:hAnsi="宋体" w:eastAsia="宋体" w:cs="宋体"/>
          <w:b/>
          <w:bCs/>
          <w:sz w:val="24"/>
          <w:szCs w:val="24"/>
          <w:lang w:val="en-US" w:eastAsia="zh-CN"/>
        </w:rPr>
        <w:t>方</w:t>
      </w:r>
      <w:r>
        <w:rPr>
          <w:rFonts w:hint="eastAsia" w:ascii="宋体" w:hAnsi="宋体" w:eastAsia="宋体" w:cs="宋体"/>
          <w:b/>
          <w:bCs/>
          <w:sz w:val="24"/>
          <w:szCs w:val="24"/>
          <w:lang w:eastAsia="zh-CN"/>
        </w:rPr>
        <w:t>）</w:t>
      </w:r>
      <w:r>
        <w:rPr>
          <w:rFonts w:hint="eastAsia" w:ascii="宋体" w:hAnsi="宋体" w:eastAsia="宋体" w:cs="宋体"/>
          <w:b/>
          <w:bCs/>
          <w:sz w:val="24"/>
          <w:szCs w:val="24"/>
        </w:rPr>
        <w:t>：</w:t>
      </w:r>
      <w:r>
        <w:rPr>
          <w:rFonts w:hint="eastAsia" w:ascii="宋体" w:hAnsi="宋体" w:eastAsia="宋体" w:cs="宋体"/>
          <w:sz w:val="24"/>
          <w:szCs w:val="24"/>
          <w:lang w:val="en-US" w:eastAsia="zh-CN"/>
        </w:rPr>
        <w:t>【  鲜生活  】</w:t>
      </w:r>
    </w:p>
    <w:p w14:paraId="059E42A3">
      <w:pPr>
        <w:pStyle w:val="2"/>
        <w:keepNext w:val="0"/>
        <w:keepLines w:val="0"/>
        <w:pageBreakBefore w:val="0"/>
        <w:kinsoku/>
        <w:wordWrap/>
        <w:overflowPunct/>
        <w:topLinePunct w:val="0"/>
        <w:autoSpaceDE/>
        <w:autoSpaceDN/>
        <w:bidi w:val="0"/>
        <w:adjustRightInd/>
        <w:spacing w:line="520" w:lineRule="exact"/>
        <w:rPr>
          <w:rFonts w:hint="eastAsia" w:ascii="宋体" w:hAnsi="宋体" w:eastAsia="宋体" w:cs="宋体"/>
          <w:sz w:val="24"/>
          <w:szCs w:val="24"/>
          <w:lang w:val="en-US" w:eastAsia="zh-CN"/>
        </w:rPr>
      </w:pPr>
    </w:p>
    <w:p w14:paraId="1750EE4B">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甲、乙双方本着合法原则、平等互利等价有偿原则、契约自由原则和诚实信用原则，经过充分协商，就乙方向甲方提供仓储服务达成一致，签订本协议以资共同遵守，具体协议内容如下：</w:t>
      </w:r>
      <w:bookmarkStart w:id="0" w:name="_Toc392595791"/>
    </w:p>
    <w:p w14:paraId="1965A465">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p>
    <w:p w14:paraId="16622932">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b/>
          <w:sz w:val="24"/>
          <w:szCs w:val="24"/>
        </w:rPr>
      </w:pPr>
      <w:r>
        <w:rPr>
          <w:rFonts w:hint="eastAsia" w:ascii="宋体" w:hAnsi="宋体" w:eastAsia="宋体" w:cs="宋体"/>
          <w:b/>
          <w:sz w:val="24"/>
          <w:szCs w:val="24"/>
          <w:lang w:eastAsia="zh-CN"/>
        </w:rPr>
        <w:t>第一条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乙方提供的服务</w:t>
      </w:r>
    </w:p>
    <w:p w14:paraId="70692FB7">
      <w:pPr>
        <w:keepNext w:val="0"/>
        <w:keepLines w:val="0"/>
        <w:pageBreakBefore w:val="0"/>
        <w:widowControl w:val="0"/>
        <w:kinsoku/>
        <w:wordWrap/>
        <w:overflowPunct/>
        <w:topLinePunct w:val="0"/>
        <w:autoSpaceDE/>
        <w:autoSpaceDN/>
        <w:bidi w:val="0"/>
        <w:adjustRightInd/>
        <w:spacing w:line="520" w:lineRule="exact"/>
        <w:ind w:firstLine="240" w:firstLineChars="100"/>
        <w:jc w:val="both"/>
        <w:rPr>
          <w:rFonts w:hint="eastAsia" w:ascii="宋体" w:hAnsi="宋体" w:eastAsia="宋体" w:cs="宋体"/>
          <w:sz w:val="24"/>
          <w:szCs w:val="24"/>
        </w:rPr>
      </w:pPr>
      <w:r>
        <w:rPr>
          <w:rFonts w:hint="eastAsia" w:ascii="宋体" w:hAnsi="宋体" w:eastAsia="宋体" w:cs="宋体"/>
          <w:sz w:val="24"/>
          <w:szCs w:val="24"/>
        </w:rPr>
        <w:t>1.1 仓储服务</w:t>
      </w:r>
    </w:p>
    <w:p w14:paraId="693C8593">
      <w:pPr>
        <w:keepNext w:val="0"/>
        <w:keepLines w:val="0"/>
        <w:pageBreakBefore w:val="0"/>
        <w:widowControl w:val="0"/>
        <w:kinsoku/>
        <w:wordWrap/>
        <w:overflowPunct/>
        <w:topLinePunct w:val="0"/>
        <w:autoSpaceDE/>
        <w:autoSpaceDN/>
        <w:bidi w:val="0"/>
        <w:adjustRightInd/>
        <w:spacing w:line="520" w:lineRule="exact"/>
        <w:ind w:firstLine="480"/>
        <w:jc w:val="both"/>
        <w:rPr>
          <w:rFonts w:hint="eastAsia" w:ascii="宋体" w:hAnsi="宋体" w:eastAsia="宋体" w:cs="宋体"/>
          <w:sz w:val="24"/>
          <w:szCs w:val="24"/>
        </w:rPr>
      </w:pPr>
      <w:r>
        <w:rPr>
          <w:rFonts w:hint="eastAsia" w:ascii="宋体" w:hAnsi="宋体" w:eastAsia="宋体" w:cs="宋体"/>
          <w:sz w:val="24"/>
          <w:szCs w:val="24"/>
          <w:lang w:val="en-US" w:eastAsia="zh-CN"/>
        </w:rPr>
        <w:t xml:space="preserve">1.1.1 </w:t>
      </w:r>
      <w:r>
        <w:rPr>
          <w:rFonts w:hint="eastAsia" w:ascii="宋体" w:hAnsi="宋体" w:eastAsia="宋体" w:cs="宋体"/>
          <w:sz w:val="24"/>
          <w:szCs w:val="24"/>
        </w:rPr>
        <w:t>乙方为甲方提供冷藏或冷冻仓（冷藏1到10摄氏度/冷冻-18±2摄氏度）存储产品服务，提供的仓储服务包括但不限于货物的出入仓、装卸、分拣、包装、运输、标签打印张贴、盘点、存储等服务，乙方根据甲方选择的服务项进行收费。</w:t>
      </w:r>
    </w:p>
    <w:p w14:paraId="5F918CF0">
      <w:pPr>
        <w:keepNext w:val="0"/>
        <w:keepLines w:val="0"/>
        <w:pageBreakBefore w:val="0"/>
        <w:widowControl w:val="0"/>
        <w:kinsoku/>
        <w:wordWrap/>
        <w:overflowPunct/>
        <w:topLinePunct w:val="0"/>
        <w:autoSpaceDE/>
        <w:autoSpaceDN/>
        <w:bidi w:val="0"/>
        <w:adjustRightInd/>
        <w:spacing w:line="520" w:lineRule="exact"/>
        <w:ind w:firstLine="480"/>
        <w:jc w:val="both"/>
        <w:rPr>
          <w:rFonts w:hint="eastAsia" w:ascii="宋体" w:hAnsi="宋体" w:eastAsia="宋体" w:cs="宋体"/>
          <w:sz w:val="24"/>
          <w:szCs w:val="24"/>
        </w:rPr>
      </w:pPr>
      <w:r>
        <w:rPr>
          <w:rFonts w:hint="eastAsia" w:ascii="宋体" w:hAnsi="宋体" w:eastAsia="宋体" w:cs="宋体"/>
          <w:sz w:val="24"/>
          <w:szCs w:val="24"/>
          <w:lang w:val="en-US" w:eastAsia="zh-CN"/>
        </w:rPr>
        <w:t xml:space="preserve">1.1.2 </w:t>
      </w:r>
      <w:r>
        <w:rPr>
          <w:rFonts w:hint="eastAsia" w:ascii="宋体" w:hAnsi="宋体" w:eastAsia="宋体" w:cs="宋体"/>
          <w:sz w:val="24"/>
          <w:szCs w:val="24"/>
        </w:rPr>
        <w:t>仓储服务地址为：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如乙方仓储地址变动，乙方须提前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日通知甲方。</w:t>
      </w:r>
    </w:p>
    <w:bookmarkEnd w:id="0"/>
    <w:p w14:paraId="7DE6CA39">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b/>
          <w:sz w:val="24"/>
          <w:szCs w:val="24"/>
        </w:rPr>
      </w:pPr>
      <w:r>
        <w:rPr>
          <w:rFonts w:hint="eastAsia" w:ascii="宋体" w:hAnsi="宋体" w:eastAsia="宋体" w:cs="宋体"/>
          <w:b/>
          <w:sz w:val="24"/>
          <w:szCs w:val="24"/>
          <w:lang w:eastAsia="zh-CN"/>
        </w:rPr>
        <w:t>第二条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产品服务内容及标准</w:t>
      </w:r>
    </w:p>
    <w:p w14:paraId="32A7CAE6">
      <w:pPr>
        <w:keepNext w:val="0"/>
        <w:keepLines w:val="0"/>
        <w:pageBreakBefore w:val="0"/>
        <w:kinsoku/>
        <w:wordWrap/>
        <w:overflowPunct/>
        <w:topLinePunct w:val="0"/>
        <w:autoSpaceDE/>
        <w:autoSpaceDN/>
        <w:bidi w:val="0"/>
        <w:adjustRightInd/>
        <w:spacing w:before="156" w:beforeLines="50" w:after="156" w:afterLines="50" w:line="520" w:lineRule="exact"/>
        <w:ind w:left="330" w:leftChars="100" w:hanging="120" w:hangingChars="50"/>
        <w:rPr>
          <w:rFonts w:hint="eastAsia" w:ascii="宋体" w:hAnsi="宋体" w:eastAsia="宋体" w:cs="宋体"/>
          <w:sz w:val="24"/>
          <w:szCs w:val="24"/>
        </w:rPr>
      </w:pPr>
      <w:r>
        <w:rPr>
          <w:rFonts w:hint="eastAsia" w:ascii="宋体" w:hAnsi="宋体" w:eastAsia="宋体" w:cs="宋体"/>
          <w:sz w:val="24"/>
          <w:szCs w:val="24"/>
        </w:rPr>
        <w:t>2.1 存储产品出入库及标准</w:t>
      </w:r>
    </w:p>
    <w:p w14:paraId="304381BA">
      <w:pPr>
        <w:keepNext w:val="0"/>
        <w:keepLines w:val="0"/>
        <w:pageBreakBefore w:val="0"/>
        <w:kinsoku/>
        <w:wordWrap/>
        <w:overflowPunct/>
        <w:topLinePunct w:val="0"/>
        <w:autoSpaceDE/>
        <w:autoSpaceDN/>
        <w:bidi w:val="0"/>
        <w:adjustRightInd/>
        <w:spacing w:before="156" w:beforeLines="50" w:after="156" w:afterLines="50" w:line="520" w:lineRule="exact"/>
        <w:ind w:firstLine="480" w:firstLineChars="200"/>
        <w:rPr>
          <w:rFonts w:hint="eastAsia" w:ascii="宋体" w:hAnsi="宋体" w:eastAsia="宋体" w:cs="宋体"/>
          <w:sz w:val="24"/>
          <w:szCs w:val="24"/>
        </w:rPr>
      </w:pPr>
      <w:bookmarkStart w:id="1" w:name="_Hlk14692478"/>
      <w:r>
        <w:rPr>
          <w:rFonts w:hint="eastAsia" w:ascii="宋体" w:hAnsi="宋体" w:eastAsia="宋体" w:cs="宋体"/>
          <w:sz w:val="24"/>
          <w:szCs w:val="24"/>
        </w:rPr>
        <w:t>2.1.1入库：甲方应在货物入库乙方仓库前</w:t>
      </w:r>
      <w:r>
        <w:rPr>
          <w:rFonts w:hint="eastAsia" w:ascii="宋体" w:hAnsi="宋体" w:eastAsia="宋体" w:cs="宋体"/>
          <w:sz w:val="24"/>
          <w:szCs w:val="24"/>
          <w:lang w:eastAsia="zh-CN"/>
        </w:rPr>
        <w:t>【</w:t>
      </w:r>
      <w:r>
        <w:rPr>
          <w:rFonts w:hint="eastAsia" w:ascii="宋体" w:hAnsi="宋体" w:eastAsia="宋体" w:cs="宋体"/>
          <w:sz w:val="24"/>
          <w:szCs w:val="24"/>
          <w:u w:val="none"/>
        </w:rPr>
        <w:t>12</w:t>
      </w:r>
      <w:r>
        <w:rPr>
          <w:rFonts w:hint="eastAsia" w:ascii="宋体" w:hAnsi="宋体" w:eastAsia="宋体" w:cs="宋体"/>
          <w:sz w:val="24"/>
          <w:szCs w:val="24"/>
          <w:lang w:eastAsia="zh-CN"/>
        </w:rPr>
        <w:t>】</w:t>
      </w:r>
      <w:r>
        <w:rPr>
          <w:rFonts w:hint="eastAsia" w:ascii="宋体" w:hAnsi="宋体" w:eastAsia="宋体" w:cs="宋体"/>
          <w:sz w:val="24"/>
          <w:szCs w:val="24"/>
        </w:rPr>
        <w:t>小时（首次入库货物需提前2个工作日）将所存货物的品名、数量、规格、货物价值等信息通过系统对接推送《入库订单》或邮件发送《入库订单》等方式通知乙方。乙方指定经办人根据合同和《入库订单》规定的温度、数量、品种、规格等信息对入库货物进行清点核对，核对无误后开具《入库单》，并报备甲方邮件确认。如甲方不能按预约时间到货，甲方应提前与乙方协调，乙方视实际工作任务情况另行确定入库</w:t>
      </w:r>
      <w:r>
        <w:rPr>
          <w:rFonts w:hint="eastAsia" w:ascii="宋体" w:hAnsi="宋体" w:eastAsia="宋体" w:cs="宋体"/>
          <w:sz w:val="24"/>
          <w:szCs w:val="24"/>
          <w:lang w:eastAsia="zh-CN"/>
        </w:rPr>
        <w:t>时间。</w:t>
      </w:r>
    </w:p>
    <w:p w14:paraId="69D7C9C3">
      <w:pPr>
        <w:keepNext w:val="0"/>
        <w:keepLines w:val="0"/>
        <w:pageBreakBefore w:val="0"/>
        <w:kinsoku/>
        <w:wordWrap/>
        <w:overflowPunct/>
        <w:topLinePunct w:val="0"/>
        <w:autoSpaceDE/>
        <w:autoSpaceDN/>
        <w:bidi w:val="0"/>
        <w:adjustRightInd/>
        <w:spacing w:before="156" w:beforeLines="50" w:after="156" w:afterLines="50"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2.1.2入库标准：甲方需乙方提供的是冷藏或冷冻仓：1到10摄氏度冷藏仓及冷冻仓-18±2摄氏度（除冷库除霜时间之外）货品的相应储存的服务。甲方向乙方提供收货标准，包括但不限于外包装、产品存储温度要求、品名、规格、数量、保质期等内容，并提供仓储物所需附加服务的操作标准，乙方根据甲方提供的标准进行收货。如甲方未提供标准，则乙方有权按自有标准权衡商品适用的收货标准并作出相应处理。同时乙方只对《入库订单》载明的收货入库的货物数量负责，不对货物本身的品质、理化性质、性能等自然属性负责。如货物入库数量与甲方《入库订单》数量不符、到货异常等情形，乙方有权拒绝入库，同时邮件通知前述甲方联系人。如甲方确认根据实际货物进行入库，乙方最终以实际入库货物数量为标准出具《入库单》，乙方不对原《入库订单》内容负责。</w:t>
      </w:r>
    </w:p>
    <w:p w14:paraId="1C49C44A">
      <w:pPr>
        <w:keepNext w:val="0"/>
        <w:keepLines w:val="0"/>
        <w:pageBreakBefore w:val="0"/>
        <w:kinsoku/>
        <w:wordWrap/>
        <w:overflowPunct/>
        <w:topLinePunct w:val="0"/>
        <w:autoSpaceDE/>
        <w:autoSpaceDN/>
        <w:bidi w:val="0"/>
        <w:adjustRightInd/>
        <w:spacing w:before="156" w:beforeLines="50" w:after="156" w:afterLines="50"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若甲方产品送达仓库时的温度不符合入库标准的，乙方有权拒收该等产品，乙方亦可与甲方沟通，</w:t>
      </w:r>
      <w:bookmarkStart w:id="2" w:name="OLE_LINK40"/>
      <w:bookmarkStart w:id="3" w:name="OLE_LINK39"/>
      <w:r>
        <w:rPr>
          <w:rFonts w:hint="eastAsia" w:ascii="宋体" w:hAnsi="宋体" w:eastAsia="宋体" w:cs="宋体"/>
          <w:sz w:val="24"/>
          <w:szCs w:val="24"/>
        </w:rPr>
        <w:t>采取相关降温措施。相关降温费用由甲方承担</w:t>
      </w:r>
      <w:bookmarkEnd w:id="2"/>
      <w:bookmarkEnd w:id="3"/>
      <w:r>
        <w:rPr>
          <w:rFonts w:hint="eastAsia" w:ascii="宋体" w:hAnsi="宋体" w:eastAsia="宋体" w:cs="宋体"/>
          <w:sz w:val="24"/>
          <w:szCs w:val="24"/>
        </w:rPr>
        <w:t xml:space="preserve">。乙方采取前述降温措施不应视为免除甲方或者甲方委托的第三方承担在产品交付乙方前由于温度原因已造成的产品变质或损坏的责任。 </w:t>
      </w:r>
    </w:p>
    <w:p w14:paraId="3F7F7C15">
      <w:pPr>
        <w:keepNext w:val="0"/>
        <w:keepLines w:val="0"/>
        <w:pageBreakBefore w:val="0"/>
        <w:kinsoku/>
        <w:wordWrap/>
        <w:overflowPunct/>
        <w:topLinePunct w:val="0"/>
        <w:autoSpaceDE/>
        <w:autoSpaceDN/>
        <w:bidi w:val="0"/>
        <w:adjustRightInd/>
        <w:spacing w:before="156" w:beforeLines="50" w:after="156" w:afterLines="50"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2.1.3 出库：甲方需在货物出库前</w:t>
      </w: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12</w:t>
      </w:r>
      <w:r>
        <w:rPr>
          <w:rFonts w:hint="eastAsia" w:ascii="宋体" w:hAnsi="宋体" w:eastAsia="宋体" w:cs="宋体"/>
          <w:sz w:val="24"/>
          <w:szCs w:val="24"/>
          <w:u w:val="none"/>
          <w:lang w:eastAsia="zh-CN"/>
        </w:rPr>
        <w:t>】</w:t>
      </w:r>
      <w:r>
        <w:rPr>
          <w:rFonts w:hint="eastAsia" w:ascii="宋体" w:hAnsi="宋体" w:eastAsia="宋体" w:cs="宋体"/>
          <w:sz w:val="24"/>
          <w:szCs w:val="24"/>
        </w:rPr>
        <w:t>小时将出库货物的品名、数量、规格、收货人地址</w:t>
      </w:r>
      <w:r>
        <w:rPr>
          <w:rFonts w:hint="eastAsia" w:ascii="宋体" w:hAnsi="宋体" w:eastAsia="宋体" w:cs="宋体"/>
          <w:sz w:val="24"/>
          <w:szCs w:val="24"/>
          <w:lang w:eastAsia="zh-CN"/>
        </w:rPr>
        <w:t>、</w:t>
      </w:r>
      <w:r>
        <w:rPr>
          <w:rFonts w:hint="eastAsia" w:ascii="宋体" w:hAnsi="宋体" w:eastAsia="宋体" w:cs="宋体"/>
          <w:sz w:val="24"/>
          <w:szCs w:val="24"/>
        </w:rPr>
        <w:t>电话及货物价值等信息通过邮件或系统对接的方式发送《出库订单》给乙方。乙方收到甲方的出库通知后，根据甲方提供的《出库订单》明细对货物进行出库操作，货品交接完成之后须有运输交接人确认签字。《出库订单》一式两份，签字后乙方留存一份。</w:t>
      </w:r>
    </w:p>
    <w:p w14:paraId="1E91C5A3">
      <w:pPr>
        <w:keepNext w:val="0"/>
        <w:keepLines w:val="0"/>
        <w:pageBreakBefore w:val="0"/>
        <w:widowControl w:val="0"/>
        <w:kinsoku/>
        <w:wordWrap/>
        <w:overflowPunct/>
        <w:topLinePunct w:val="0"/>
        <w:autoSpaceDE/>
        <w:autoSpaceDN/>
        <w:bidi w:val="0"/>
        <w:adjustRightInd/>
        <w:spacing w:before="156" w:beforeLines="50" w:after="156" w:afterLines="50" w:line="52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退货：因货物本身质量问题等非乙方原因造成的退货，甲方应系统推送或邮件发送《退货订单》</w:t>
      </w:r>
      <w:r>
        <w:rPr>
          <w:rFonts w:hint="eastAsia" w:ascii="宋体" w:hAnsi="宋体" w:eastAsia="宋体" w:cs="宋体"/>
          <w:sz w:val="24"/>
          <w:szCs w:val="24"/>
          <w:lang w:eastAsia="zh-CN"/>
        </w:rPr>
        <w:t>，</w:t>
      </w:r>
      <w:r>
        <w:rPr>
          <w:rFonts w:hint="eastAsia" w:ascii="宋体" w:hAnsi="宋体" w:eastAsia="宋体" w:cs="宋体"/>
          <w:sz w:val="24"/>
          <w:szCs w:val="24"/>
        </w:rPr>
        <w:t>《退货订单》内容包括：客户名称，订单号，收货方地址，收货人，电话，品名，规格，单位，数量，退货时温度，退货原因等信息。乙方根据甲方提供的《退货订单》进行收货和处理，具体处理方式按照本合同第4.</w:t>
      </w:r>
      <w:r>
        <w:rPr>
          <w:rFonts w:hint="eastAsia" w:ascii="宋体" w:hAnsi="宋体" w:eastAsia="宋体" w:cs="宋体"/>
          <w:sz w:val="24"/>
          <w:szCs w:val="24"/>
          <w:lang w:val="en-US" w:eastAsia="zh-CN"/>
        </w:rPr>
        <w:t>5</w:t>
      </w:r>
      <w:r>
        <w:rPr>
          <w:rFonts w:hint="eastAsia" w:ascii="宋体" w:hAnsi="宋体" w:eastAsia="宋体" w:cs="宋体"/>
          <w:sz w:val="24"/>
          <w:szCs w:val="24"/>
        </w:rPr>
        <w:t>条</w:t>
      </w:r>
      <w:r>
        <w:rPr>
          <w:rFonts w:hint="eastAsia" w:ascii="宋体" w:hAnsi="宋体" w:eastAsia="宋体" w:cs="宋体"/>
          <w:sz w:val="24"/>
          <w:szCs w:val="24"/>
          <w:lang w:eastAsia="zh-CN"/>
        </w:rPr>
        <w:t>约定执行</w:t>
      </w:r>
      <w:r>
        <w:rPr>
          <w:rFonts w:hint="eastAsia" w:ascii="宋体" w:hAnsi="宋体" w:eastAsia="宋体" w:cs="宋体"/>
          <w:sz w:val="24"/>
          <w:szCs w:val="24"/>
        </w:rPr>
        <w:t>。</w:t>
      </w:r>
    </w:p>
    <w:p w14:paraId="19A79F31">
      <w:pPr>
        <w:keepNext w:val="0"/>
        <w:keepLines w:val="0"/>
        <w:pageBreakBefore w:val="0"/>
        <w:widowControl w:val="0"/>
        <w:kinsoku/>
        <w:wordWrap/>
        <w:overflowPunct/>
        <w:topLinePunct w:val="0"/>
        <w:autoSpaceDE/>
        <w:autoSpaceDN/>
        <w:bidi w:val="0"/>
        <w:adjustRightInd/>
        <w:spacing w:before="156" w:beforeLines="50" w:after="156" w:afterLines="50" w:line="52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3 </w:t>
      </w:r>
      <w:r>
        <w:rPr>
          <w:rFonts w:hint="eastAsia" w:ascii="宋体" w:hAnsi="宋体" w:eastAsia="宋体" w:cs="宋体"/>
          <w:sz w:val="24"/>
          <w:szCs w:val="24"/>
        </w:rPr>
        <w:t>盘点：乙方每月对甲方存储货物进行盘点，并向甲方邮件发送一份截</w:t>
      </w:r>
      <w:r>
        <w:rPr>
          <w:rFonts w:hint="eastAsia" w:ascii="宋体" w:hAnsi="宋体" w:eastAsia="宋体" w:cs="宋体"/>
          <w:sz w:val="24"/>
          <w:szCs w:val="24"/>
          <w:lang w:eastAsia="zh-CN"/>
        </w:rPr>
        <w:t>至</w:t>
      </w:r>
      <w:r>
        <w:rPr>
          <w:rFonts w:hint="eastAsia" w:ascii="宋体" w:hAnsi="宋体" w:eastAsia="宋体" w:cs="宋体"/>
          <w:sz w:val="24"/>
          <w:szCs w:val="24"/>
        </w:rPr>
        <w:t>上月底最后一天的《货物盘点明细表》（以下简称“《明细表》”）。如货物有异常，甲方需向乙方及时提出，双方核对确认。甲方自收到《明细表》之日起3日内未提出异议的，则视为甲方认同确认《明细表》内容，甲方应签署《明细表》并扫描给乙方。若甲方要求增加盘点次数，乙方可按甲方要求进行有偿盘点，具体费用由双方协商。</w:t>
      </w:r>
    </w:p>
    <w:bookmarkEnd w:id="1"/>
    <w:p w14:paraId="26C868CD">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b/>
          <w:sz w:val="24"/>
          <w:szCs w:val="24"/>
        </w:rPr>
      </w:pPr>
      <w:r>
        <w:rPr>
          <w:rFonts w:hint="eastAsia" w:ascii="宋体" w:hAnsi="宋体" w:eastAsia="宋体" w:cs="宋体"/>
          <w:b/>
          <w:sz w:val="24"/>
          <w:szCs w:val="24"/>
          <w:lang w:eastAsia="zh-CN"/>
        </w:rPr>
        <w:t>第三条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甲方的权利与义务</w:t>
      </w:r>
    </w:p>
    <w:p w14:paraId="15C1D99A">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3.1 对于甲方存储在乙方库房的产品，未经甲方同意，乙方不得向其他方透露其产品信息，若因乙方原因导致产品出现变质等情况，甲方享有在第一时间知悉实际情况的权利，同时根据产品的实际价值</w:t>
      </w:r>
      <w:r>
        <w:rPr>
          <w:rFonts w:hint="eastAsia" w:ascii="宋体" w:hAnsi="宋体" w:eastAsia="宋体" w:cs="宋体"/>
          <w:sz w:val="24"/>
          <w:szCs w:val="24"/>
          <w:lang w:eastAsia="zh-CN"/>
        </w:rPr>
        <w:t>（产品出厂价</w:t>
      </w:r>
      <w:r>
        <w:rPr>
          <w:rFonts w:hint="eastAsia" w:ascii="宋体" w:hAnsi="宋体" w:eastAsia="宋体" w:cs="宋体"/>
          <w:sz w:val="24"/>
          <w:szCs w:val="24"/>
          <w:lang w:val="en-US" w:eastAsia="zh-CN"/>
        </w:rPr>
        <w:t>/购买价</w:t>
      </w:r>
      <w:r>
        <w:rPr>
          <w:rFonts w:hint="eastAsia" w:ascii="宋体" w:hAnsi="宋体" w:eastAsia="宋体" w:cs="宋体"/>
          <w:sz w:val="24"/>
          <w:szCs w:val="24"/>
          <w:lang w:eastAsia="zh-CN"/>
        </w:rPr>
        <w:t>）</w:t>
      </w:r>
      <w:r>
        <w:rPr>
          <w:rFonts w:hint="eastAsia" w:ascii="宋体" w:hAnsi="宋体" w:eastAsia="宋体" w:cs="宋体"/>
          <w:sz w:val="24"/>
          <w:szCs w:val="24"/>
        </w:rPr>
        <w:t>向乙方进行索赔</w:t>
      </w:r>
      <w:r>
        <w:rPr>
          <w:rFonts w:hint="eastAsia" w:ascii="宋体" w:hAnsi="宋体" w:eastAsia="宋体" w:cs="宋体"/>
          <w:sz w:val="24"/>
          <w:szCs w:val="24"/>
          <w:lang w:eastAsia="zh-CN"/>
        </w:rPr>
        <w:t>。</w:t>
      </w:r>
    </w:p>
    <w:p w14:paraId="7970A95F">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 甲方保证委托乙方操作的货品为国家允许流通的货品，根据《食品安全法》等相关法律法规的规定，如经营特定的食品需要获得政府主管部门或相关机构的许可、证明的，甲方在交付托寄物时，需要附上相关许可或证明的复印件以便查验，甲方对货物来源的合法渠道负责，保证对货物享有所有权或独立处分权，不侵犯任何第三方的知识产权，并独立承担因货物的权属、质量、功能、品牌、交易纠纷等引起的法律责任、以避免乙方遭受牵连和损失。因甲方对货物不享有所有权或独立处分权或侵犯第三方知识产权的，乙方不承担任何责任。甲方保证所储存的货物及包装符合国家或有关部门规定的质量标准，或符合经批准的企业或行业标准，甲方应提供相关生产、经营资质文件和产品合格证明，进口产品需提供报关文件及出入境检验检疫文件等。甲方需保证提供给乙方的资质材料的合法性与真实性，因故意造假或隐瞒资质材料的真实性，或资质材料不合格导致货物无法及时入仓，由此造成的损失由甲方承担。</w:t>
      </w:r>
    </w:p>
    <w:p w14:paraId="5E0E58C6">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 甲方需向乙方提供货物的资料，并说明货物的内容、特性、存储要求；如物品性质为易变质物品或具有一定的危险性，还需提供详细的储存说明资料（含注意事项），因货物或包装的原因发生危险或造成损害的，由甲方独自承担责任。如甲方未提供货物的资料，则乙方有权对货物按自有标准做相应处理。甲方入库的仓储物不符合储存条件，包括但不限于包装破损、沾染异物、性质不明等问题而无法入库的，乙方应及时通知甲方妥善处理，乙方有权拒绝入库要求。</w:t>
      </w:r>
    </w:p>
    <w:p w14:paraId="0122DA09">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 甲方商品首次入库时甲方应在货物存放到乙方仓库之前2个工作日内将所存货物的品名、编码、数量、规格、单位等信息通过邮件等书面方式告知乙方。</w:t>
      </w:r>
    </w:p>
    <w:p w14:paraId="26930306">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b/>
          <w:sz w:val="24"/>
          <w:szCs w:val="24"/>
        </w:rPr>
      </w:pPr>
      <w:r>
        <w:rPr>
          <w:rFonts w:hint="eastAsia" w:ascii="宋体" w:hAnsi="宋体" w:eastAsia="宋体" w:cs="宋体"/>
          <w:b/>
          <w:sz w:val="24"/>
          <w:szCs w:val="24"/>
          <w:lang w:eastAsia="zh-CN"/>
        </w:rPr>
        <w:t>第四条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乙方的权利与义务</w:t>
      </w:r>
    </w:p>
    <w:p w14:paraId="1D001325">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 乙方有权拒绝易燃、易爆、有毒、有腐蚀性等违禁品、不达标货品入库；对于甲方不按照乙方要求提供仓储物明细的，乙方可以拒收入库货物，如因甲方隐瞒货物真实属性或存在其他违约情形造成损失的（含乙方或第三方的损失），由甲方承担赔偿责任。</w:t>
      </w:r>
    </w:p>
    <w:p w14:paraId="30DFCE04">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4.2 乙方应按双方合同商定的储存条件（冷藏：1到10摄氏度，冷冻-18±2摄氏度）和存放要求存放货物，并定期进行检查，保证仓库内的环境整洁。乙方如发现货物出现异状，应及时通知甲方处理。如仓储货物危及其他仓储货物的安全和正常存放，乙方可拒绝入库，并及时通知甲方。</w:t>
      </w:r>
    </w:p>
    <w:p w14:paraId="7D67A3D9">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4.3 储存期间，</w:t>
      </w:r>
      <w:r>
        <w:rPr>
          <w:rFonts w:hint="eastAsia" w:ascii="宋体" w:hAnsi="宋体" w:eastAsia="宋体" w:cs="宋体"/>
          <w:sz w:val="24"/>
          <w:szCs w:val="24"/>
          <w:lang w:eastAsia="zh-CN"/>
        </w:rPr>
        <w:t>因乙方原因</w:t>
      </w:r>
      <w:r>
        <w:rPr>
          <w:rFonts w:hint="eastAsia" w:ascii="宋体" w:hAnsi="宋体" w:eastAsia="宋体" w:cs="宋体"/>
          <w:sz w:val="24"/>
          <w:szCs w:val="24"/>
        </w:rPr>
        <w:t>造成仓储物毁损、短少、灭失的，乙方应当承担因此造成甲方损失的赔偿责任。因仓储物非乙方造成的超过有效储存期造成仓储物变质、损坏的，乙方不承担损害赔偿责任。</w:t>
      </w:r>
      <w:r>
        <w:rPr>
          <w:rFonts w:hint="eastAsia" w:ascii="宋体" w:hAnsi="宋体" w:eastAsia="宋体" w:cs="宋体"/>
          <w:sz w:val="24"/>
          <w:szCs w:val="24"/>
          <w:lang w:eastAsia="zh-CN"/>
        </w:rPr>
        <w:t>因</w:t>
      </w:r>
      <w:r>
        <w:rPr>
          <w:rFonts w:hint="eastAsia" w:ascii="宋体" w:hAnsi="宋体" w:eastAsia="宋体" w:cs="宋体"/>
          <w:sz w:val="24"/>
          <w:szCs w:val="24"/>
        </w:rPr>
        <w:t>乙方原因造成甲方货物不能进出库或者没有按照甲方的发货指令发错货物，忘发货物，造成甲方的客户投诉，由乙方按甲方的实际损失金额赔偿甲方。</w:t>
      </w:r>
    </w:p>
    <w:p w14:paraId="7C5CF2E1">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4.4 甲方储存货物临近失效期或有异状</w:t>
      </w:r>
      <w:r>
        <w:rPr>
          <w:rFonts w:hint="eastAsia" w:ascii="宋体" w:hAnsi="宋体" w:eastAsia="宋体" w:cs="宋体"/>
          <w:color w:val="auto"/>
          <w:sz w:val="24"/>
          <w:szCs w:val="24"/>
        </w:rPr>
        <w:t>（包括但不限于货物有异味、外包装破损、有虫害痕迹等），在收到乙方通知后</w:t>
      </w:r>
      <w:r>
        <w:rPr>
          <w:rFonts w:hint="eastAsia" w:ascii="宋体" w:hAnsi="宋体" w:eastAsia="宋体" w:cs="宋体"/>
          <w:color w:val="auto"/>
          <w:sz w:val="24"/>
          <w:szCs w:val="24"/>
          <w:lang w:val="en-US" w:eastAsia="zh-CN"/>
        </w:rPr>
        <w:t>3日</w:t>
      </w:r>
      <w:r>
        <w:rPr>
          <w:rFonts w:hint="eastAsia" w:ascii="宋体" w:hAnsi="宋体" w:eastAsia="宋体" w:cs="宋体"/>
          <w:color w:val="auto"/>
          <w:sz w:val="24"/>
          <w:szCs w:val="24"/>
        </w:rPr>
        <w:t>内不及时处理的</w:t>
      </w:r>
      <w:r>
        <w:rPr>
          <w:rFonts w:hint="eastAsia" w:ascii="宋体" w:hAnsi="宋体" w:eastAsia="宋体" w:cs="宋体"/>
          <w:sz w:val="24"/>
          <w:szCs w:val="24"/>
        </w:rPr>
        <w:t>，乙方有权在甲方未提供明确临期预警日期和下架日期的情况下依照乙方的货物临期预警和下架标准对货物进行处理，</w:t>
      </w:r>
      <w:r>
        <w:rPr>
          <w:rFonts w:hint="eastAsia" w:ascii="宋体" w:hAnsi="宋体" w:eastAsia="宋体" w:cs="宋体"/>
          <w:sz w:val="24"/>
          <w:szCs w:val="24"/>
          <w:lang w:eastAsia="zh-CN"/>
        </w:rPr>
        <w:t>因此</w:t>
      </w:r>
      <w:r>
        <w:rPr>
          <w:rFonts w:hint="eastAsia" w:ascii="宋体" w:hAnsi="宋体" w:eastAsia="宋体" w:cs="宋体"/>
          <w:sz w:val="24"/>
          <w:szCs w:val="24"/>
        </w:rPr>
        <w:t>产生的</w:t>
      </w:r>
      <w:r>
        <w:rPr>
          <w:rFonts w:hint="eastAsia" w:ascii="宋体" w:hAnsi="宋体" w:eastAsia="宋体" w:cs="宋体"/>
          <w:sz w:val="24"/>
          <w:szCs w:val="24"/>
          <w:lang w:eastAsia="zh-CN"/>
        </w:rPr>
        <w:t>损失及费用由</w:t>
      </w:r>
      <w:r>
        <w:rPr>
          <w:rFonts w:hint="eastAsia" w:ascii="宋体" w:hAnsi="宋体" w:eastAsia="宋体" w:cs="宋体"/>
          <w:sz w:val="24"/>
          <w:szCs w:val="24"/>
        </w:rPr>
        <w:t>甲方承担；如因此导致乙方仓库或存储物污染等其他损害的，甲方应当赔偿乙方</w:t>
      </w:r>
      <w:r>
        <w:rPr>
          <w:rFonts w:hint="eastAsia" w:ascii="宋体" w:hAnsi="宋体" w:eastAsia="宋体" w:cs="宋体"/>
          <w:sz w:val="24"/>
          <w:szCs w:val="24"/>
          <w:lang w:eastAsia="zh-CN"/>
        </w:rPr>
        <w:t>因此遭受的</w:t>
      </w:r>
      <w:r>
        <w:rPr>
          <w:rFonts w:hint="eastAsia" w:ascii="宋体" w:hAnsi="宋体" w:eastAsia="宋体" w:cs="宋体"/>
          <w:sz w:val="24"/>
          <w:szCs w:val="24"/>
        </w:rPr>
        <w:t>损失。</w:t>
      </w:r>
    </w:p>
    <w:p w14:paraId="5A71E6B2">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4.5 非乙方原因造成的货物退回：甲方需要承担因货物退回产生的相关费用，双方就货物退回产生的费用总额达成一致后，乙方将货物运回原仓库或甲方指定收货地点，退回货物按原存储标准由甲方承担存储费及相关费用。如货物运回仓库后超过货物保质期限的，乙方有权按作废件处理，</w:t>
      </w:r>
      <w:r>
        <w:rPr>
          <w:rFonts w:hint="eastAsia" w:ascii="宋体" w:hAnsi="宋体" w:eastAsia="宋体" w:cs="宋体"/>
          <w:sz w:val="24"/>
          <w:szCs w:val="24"/>
          <w:lang w:eastAsia="zh-CN"/>
        </w:rPr>
        <w:t>因此</w:t>
      </w:r>
      <w:r>
        <w:rPr>
          <w:rFonts w:hint="eastAsia" w:ascii="宋体" w:hAnsi="宋体" w:eastAsia="宋体" w:cs="宋体"/>
          <w:sz w:val="24"/>
          <w:szCs w:val="24"/>
        </w:rPr>
        <w:t>产生的</w:t>
      </w:r>
      <w:r>
        <w:rPr>
          <w:rFonts w:hint="eastAsia" w:ascii="宋体" w:hAnsi="宋体" w:eastAsia="宋体" w:cs="宋体"/>
          <w:sz w:val="24"/>
          <w:szCs w:val="24"/>
          <w:lang w:eastAsia="zh-CN"/>
        </w:rPr>
        <w:t>损失及费用由</w:t>
      </w:r>
      <w:r>
        <w:rPr>
          <w:rFonts w:hint="eastAsia" w:ascii="宋体" w:hAnsi="宋体" w:eastAsia="宋体" w:cs="宋体"/>
          <w:sz w:val="24"/>
          <w:szCs w:val="24"/>
        </w:rPr>
        <w:t>甲方承担；如因此导致乙方仓库或存储物污染等其他损害的，甲方应当赔偿乙方</w:t>
      </w:r>
      <w:r>
        <w:rPr>
          <w:rFonts w:hint="eastAsia" w:ascii="宋体" w:hAnsi="宋体" w:eastAsia="宋体" w:cs="宋体"/>
          <w:sz w:val="24"/>
          <w:szCs w:val="24"/>
          <w:lang w:eastAsia="zh-CN"/>
        </w:rPr>
        <w:t>因此遭受的</w:t>
      </w:r>
      <w:r>
        <w:rPr>
          <w:rFonts w:hint="eastAsia" w:ascii="宋体" w:hAnsi="宋体" w:eastAsia="宋体" w:cs="宋体"/>
          <w:sz w:val="24"/>
          <w:szCs w:val="24"/>
        </w:rPr>
        <w:t>损失。</w:t>
      </w:r>
    </w:p>
    <w:p w14:paraId="7DA39B84">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4.6 </w:t>
      </w:r>
      <w:r>
        <w:rPr>
          <w:rFonts w:hint="eastAsia" w:ascii="宋体" w:hAnsi="宋体" w:eastAsia="宋体" w:cs="宋体"/>
          <w:sz w:val="24"/>
          <w:szCs w:val="24"/>
        </w:rPr>
        <w:t>乙方对甲方的产品情况有保密义务，对于甲方产品的具体细节，包括但不限于甲方产品的数量、品种、生产厂家等，不得向第三方随意透露。</w:t>
      </w:r>
    </w:p>
    <w:p w14:paraId="645BA3E9">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4.7 </w:t>
      </w:r>
      <w:r>
        <w:rPr>
          <w:rFonts w:hint="eastAsia" w:ascii="宋体" w:hAnsi="宋体" w:eastAsia="宋体" w:cs="宋体"/>
          <w:sz w:val="24"/>
          <w:szCs w:val="24"/>
          <w:highlight w:val="none"/>
        </w:rPr>
        <w:t>甲方根据货物的性质及重量、数量、体积采用适当的包装材料和包装形式包装。</w:t>
      </w:r>
      <w:r>
        <w:rPr>
          <w:rFonts w:hint="eastAsia" w:ascii="宋体" w:hAnsi="宋体" w:eastAsia="宋体" w:cs="宋体"/>
          <w:sz w:val="24"/>
          <w:szCs w:val="24"/>
          <w:highlight w:val="none"/>
          <w:lang w:eastAsia="zh-CN"/>
        </w:rPr>
        <w:t>因甲方货物包装不合格、存在质量瑕疵等甲方原因造成的人身损害及货物毁损、灭失，赔偿责任由甲方承担。</w:t>
      </w:r>
    </w:p>
    <w:p w14:paraId="3AC76F92">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4.8 在符合法律和合同规定条件下的仓储，由于下列原因造成货物灭失、短少、变质、污染、损坏的，乙方不承担责任：①不可抗力；②货物的自然属性或合理损耗或货物质保期届满；③甲方的过错；④原包装不符合规定（无法从外部发现）且乙方采取了合理方式保存留证的，或者包装完整无损而内装货物短损且经检查无二次封箱痕迹的。</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 5 \* GB3 \* MERGEFORMAT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⑤</w: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遵守甲方或者其他有权方对乙方做出的指示。</w:t>
      </w:r>
    </w:p>
    <w:p w14:paraId="6BE37201">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kern w:val="2"/>
          <w:sz w:val="24"/>
          <w:szCs w:val="24"/>
          <w:highlight w:val="none"/>
          <w:lang w:val="en-US" w:eastAsia="zh-CN" w:bidi="ar-SA"/>
        </w:rPr>
        <w:t>4.9 如乙方因政府或有关部门要求限制货物进出、对货物进行消毒、部分或全部销毁或采取其他</w:t>
      </w:r>
      <w:r>
        <w:rPr>
          <w:rFonts w:hint="eastAsia" w:ascii="宋体" w:hAnsi="宋体" w:eastAsia="宋体" w:cs="宋体"/>
          <w:sz w:val="24"/>
          <w:szCs w:val="24"/>
          <w:highlight w:val="none"/>
          <w:lang w:val="en-US" w:eastAsia="zh-CN"/>
        </w:rPr>
        <w:t>措施</w:t>
      </w:r>
      <w:r>
        <w:rPr>
          <w:rFonts w:hint="eastAsia" w:ascii="宋体" w:hAnsi="宋体" w:eastAsia="宋体" w:cs="宋体"/>
          <w:kern w:val="2"/>
          <w:sz w:val="24"/>
          <w:szCs w:val="24"/>
          <w:highlight w:val="none"/>
          <w:lang w:val="en-US" w:eastAsia="zh-CN" w:bidi="ar-SA"/>
        </w:rPr>
        <w:t>的，乙方在收到上述通知后书面通知甲方，甲乙双方均应积极配合，乙方不承担因此造成的损失。</w:t>
      </w:r>
    </w:p>
    <w:p w14:paraId="37A596E6">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4.</w:t>
      </w:r>
      <w:bookmarkStart w:id="4" w:name="OLE_LINK41"/>
      <w:bookmarkStart w:id="5" w:name="OLE_LINK37"/>
      <w:bookmarkStart w:id="6" w:name="OLE_LINK38"/>
      <w:bookmarkStart w:id="7" w:name="OLE_LINK50"/>
      <w:r>
        <w:rPr>
          <w:rFonts w:hint="eastAsia" w:ascii="宋体" w:hAnsi="宋体" w:eastAsia="宋体" w:cs="宋体"/>
          <w:sz w:val="24"/>
          <w:szCs w:val="24"/>
          <w:highlight w:val="none"/>
          <w:lang w:val="en-US" w:eastAsia="zh-CN"/>
        </w:rPr>
        <w:t>10 若甲方存于乙方仓库中产品的价值低于其已经发生但未支付的服务费用，则甲方应先向乙方支付部分或全部前述服务费用，或向乙方提供相应担保金或增加库存，以确保产品价值或产品价值与担保金之和高于前述已发生但未支付的服务费用，否则乙方有权拒绝甲方的发货请求，甲方不得由此向乙方主张任何性质的赔偿。</w:t>
      </w:r>
      <w:bookmarkStart w:id="8" w:name="OLE_LINK43"/>
      <w:bookmarkStart w:id="9" w:name="OLE_LINK42"/>
      <w:r>
        <w:rPr>
          <w:rFonts w:hint="eastAsia" w:ascii="宋体" w:hAnsi="宋体" w:eastAsia="宋体" w:cs="宋体"/>
          <w:sz w:val="24"/>
          <w:szCs w:val="24"/>
          <w:highlight w:val="none"/>
          <w:lang w:val="en-US" w:eastAsia="zh-CN"/>
        </w:rPr>
        <w:t>产品价值以甲方仓储通知上的出厂价格为计算依据。</w:t>
      </w:r>
      <w:bookmarkEnd w:id="8"/>
      <w:bookmarkEnd w:id="9"/>
      <w:r>
        <w:rPr>
          <w:rFonts w:hint="eastAsia" w:ascii="宋体" w:hAnsi="宋体" w:eastAsia="宋体" w:cs="宋体"/>
          <w:sz w:val="24"/>
          <w:szCs w:val="24"/>
          <w:highlight w:val="none"/>
          <w:lang w:val="en-US" w:eastAsia="zh-CN"/>
        </w:rPr>
        <w:t xml:space="preserve"> </w:t>
      </w:r>
      <w:bookmarkEnd w:id="4"/>
      <w:bookmarkEnd w:id="5"/>
      <w:bookmarkEnd w:id="6"/>
      <w:bookmarkEnd w:id="7"/>
    </w:p>
    <w:p w14:paraId="58D6AA08">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4.11 本合同到期或提前解除的，甲方应在前述事由发生之日起5个工作日内办理完毕货物清仓，并在清仓前支付完毕本合同项下已产生的各项费用。甲方未全额支付或拒绝支付的，乙方有权拒绝办理货物出库，由此产生的损失由甲方自行承担。</w:t>
      </w:r>
    </w:p>
    <w:p w14:paraId="4D736A03">
      <w:pPr>
        <w:keepNext w:val="0"/>
        <w:keepLines w:val="0"/>
        <w:pageBreakBefore w:val="0"/>
        <w:widowControl/>
        <w:suppressLineNumbers w:val="0"/>
        <w:kinsoku/>
        <w:wordWrap/>
        <w:overflowPunct/>
        <w:topLinePunct w:val="0"/>
        <w:autoSpaceDE/>
        <w:autoSpaceDN/>
        <w:bidi w:val="0"/>
        <w:adjustRightInd/>
        <w:spacing w:line="52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4.12 非经甲方同意，乙方不得使用甲方的字号及logo，但如乙方或乙方关联实体仅将甲方的字号及logo用于投标、宣传等业绩展现的除外。</w:t>
      </w:r>
    </w:p>
    <w:p w14:paraId="4D40BF06">
      <w:pPr>
        <w:pStyle w:val="2"/>
        <w:keepNext w:val="0"/>
        <w:keepLines w:val="0"/>
        <w:pageBreakBefore w:val="0"/>
        <w:kinsoku/>
        <w:wordWrap/>
        <w:overflowPunct/>
        <w:topLinePunct w:val="0"/>
        <w:autoSpaceDE/>
        <w:autoSpaceDN/>
        <w:bidi w:val="0"/>
        <w:adjustRightInd/>
        <w:spacing w:line="520" w:lineRule="exact"/>
        <w:ind w:left="0" w:leftChars="0" w:firstLine="0" w:firstLineChars="0"/>
        <w:rPr>
          <w:rFonts w:hint="eastAsia" w:ascii="宋体" w:hAnsi="宋体" w:eastAsia="宋体" w:cs="宋体"/>
          <w:sz w:val="24"/>
          <w:szCs w:val="24"/>
        </w:rPr>
      </w:pPr>
    </w:p>
    <w:p w14:paraId="0233ABD3">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b/>
          <w:sz w:val="24"/>
          <w:szCs w:val="24"/>
        </w:rPr>
      </w:pPr>
      <w:r>
        <w:rPr>
          <w:rFonts w:hint="eastAsia" w:ascii="宋体" w:hAnsi="宋体" w:eastAsia="宋体" w:cs="宋体"/>
          <w:b/>
          <w:sz w:val="24"/>
          <w:szCs w:val="24"/>
          <w:lang w:eastAsia="zh-CN"/>
        </w:rPr>
        <w:t>第五条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收费及结算</w:t>
      </w:r>
    </w:p>
    <w:p w14:paraId="1E46385D">
      <w:pPr>
        <w:spacing w:before="156" w:beforeLines="50" w:after="156" w:afterLines="50" w:line="360" w:lineRule="auto"/>
        <w:ind w:left="15" w:leftChars="7" w:firstLine="480" w:firstLineChars="200"/>
        <w:rPr>
          <w:rFonts w:hint="eastAsia" w:ascii="宋体" w:hAnsi="宋体" w:eastAsia="宋体" w:cs="宋体"/>
          <w:kern w:val="10"/>
          <w:sz w:val="24"/>
          <w:szCs w:val="24"/>
        </w:rPr>
      </w:pPr>
      <w:r>
        <w:rPr>
          <w:rFonts w:hint="eastAsia" w:ascii="宋体" w:hAnsi="宋体" w:eastAsia="宋体" w:cs="宋体"/>
          <w:sz w:val="24"/>
          <w:szCs w:val="24"/>
        </w:rPr>
        <w:t>5.1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收费标准：</w:t>
      </w:r>
    </w:p>
    <w:p w14:paraId="694DDAC0">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kern w:val="10"/>
          <w:sz w:val="24"/>
          <w:szCs w:val="24"/>
        </w:rPr>
      </w:pPr>
      <w:r>
        <w:rPr>
          <w:rFonts w:hint="eastAsia" w:ascii="宋体" w:hAnsi="宋体" w:eastAsia="宋体" w:cs="宋体"/>
          <w:kern w:val="10"/>
          <w:sz w:val="24"/>
          <w:szCs w:val="24"/>
        </w:rPr>
        <w:t>仓储服务收费标准详见附件一《</w:t>
      </w:r>
      <w:r>
        <w:rPr>
          <w:rFonts w:hint="eastAsia" w:ascii="宋体" w:hAnsi="宋体" w:eastAsia="宋体" w:cs="宋体"/>
          <w:sz w:val="24"/>
          <w:szCs w:val="24"/>
        </w:rPr>
        <w:t>仓储及操作服务费用价</w:t>
      </w:r>
      <w:r>
        <w:rPr>
          <w:rFonts w:hint="eastAsia" w:ascii="宋体" w:hAnsi="宋体" w:eastAsia="宋体" w:cs="宋体"/>
          <w:sz w:val="24"/>
          <w:szCs w:val="24"/>
          <w:lang w:eastAsia="zh-CN"/>
        </w:rPr>
        <w:t>目</w:t>
      </w:r>
      <w:r>
        <w:rPr>
          <w:rFonts w:hint="eastAsia" w:ascii="宋体" w:hAnsi="宋体" w:eastAsia="宋体" w:cs="宋体"/>
          <w:sz w:val="24"/>
          <w:szCs w:val="24"/>
        </w:rPr>
        <w:t>表</w:t>
      </w:r>
      <w:r>
        <w:rPr>
          <w:rFonts w:hint="eastAsia" w:ascii="宋体" w:hAnsi="宋体" w:eastAsia="宋体" w:cs="宋体"/>
          <w:kern w:val="10"/>
          <w:sz w:val="24"/>
          <w:szCs w:val="24"/>
        </w:rPr>
        <w:t>》。</w:t>
      </w:r>
    </w:p>
    <w:p w14:paraId="256397FF">
      <w:pPr>
        <w:keepNext w:val="0"/>
        <w:keepLines w:val="0"/>
        <w:pageBreakBefore w:val="0"/>
        <w:kinsoku/>
        <w:wordWrap/>
        <w:overflowPunct/>
        <w:topLinePunct w:val="0"/>
        <w:autoSpaceDE/>
        <w:autoSpaceDN/>
        <w:bidi w:val="0"/>
        <w:adjustRightInd/>
        <w:spacing w:line="520" w:lineRule="exact"/>
        <w:ind w:left="679" w:leftChars="209" w:hanging="240" w:hangingChars="100"/>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结算方式：</w:t>
      </w:r>
    </w:p>
    <w:p w14:paraId="70BDE7E3">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2</w:t>
      </w:r>
      <w:r>
        <w:rPr>
          <w:rFonts w:hint="eastAsia" w:ascii="宋体" w:hAnsi="宋体" w:eastAsia="宋体" w:cs="宋体"/>
          <w:sz w:val="24"/>
          <w:szCs w:val="24"/>
        </w:rPr>
        <w:t>.1乙方在每个结算周期结束后</w:t>
      </w:r>
      <w:r>
        <w:rPr>
          <w:rFonts w:hint="eastAsia" w:ascii="宋体" w:hAnsi="宋体" w:eastAsia="宋体" w:cs="宋体"/>
          <w:sz w:val="24"/>
          <w:szCs w:val="24"/>
          <w:lang w:val="en-US" w:eastAsia="zh-CN"/>
        </w:rPr>
        <w:t>3</w:t>
      </w:r>
      <w:r>
        <w:rPr>
          <w:rFonts w:hint="eastAsia" w:ascii="宋体" w:hAnsi="宋体" w:eastAsia="宋体" w:cs="宋体"/>
          <w:sz w:val="24"/>
          <w:szCs w:val="24"/>
        </w:rPr>
        <w:t>日内提供上月</w:t>
      </w:r>
      <w:r>
        <w:rPr>
          <w:rFonts w:hint="eastAsia" w:ascii="宋体" w:hAnsi="宋体" w:eastAsia="宋体" w:cs="宋体"/>
          <w:sz w:val="24"/>
          <w:szCs w:val="24"/>
          <w:lang w:eastAsia="zh-CN"/>
        </w:rPr>
        <w:t>仓储</w:t>
      </w:r>
      <w:r>
        <w:rPr>
          <w:rFonts w:hint="eastAsia" w:ascii="宋体" w:hAnsi="宋体" w:eastAsia="宋体" w:cs="宋体"/>
          <w:sz w:val="24"/>
          <w:szCs w:val="24"/>
        </w:rPr>
        <w:t>业务费用结算单明细给甲方确认</w:t>
      </w:r>
      <w:r>
        <w:rPr>
          <w:rFonts w:hint="eastAsia" w:ascii="宋体" w:hAnsi="宋体" w:eastAsia="宋体" w:cs="宋体"/>
          <w:sz w:val="24"/>
          <w:szCs w:val="24"/>
          <w:lang w:eastAsia="zh-CN"/>
        </w:rPr>
        <w:t>，</w:t>
      </w:r>
      <w:r>
        <w:rPr>
          <w:rFonts w:hint="eastAsia" w:ascii="宋体" w:hAnsi="宋体" w:eastAsia="宋体" w:cs="宋体"/>
          <w:sz w:val="24"/>
          <w:szCs w:val="24"/>
        </w:rPr>
        <w:t>甲方</w:t>
      </w:r>
      <w:r>
        <w:rPr>
          <w:rFonts w:hint="eastAsia" w:ascii="宋体" w:hAnsi="宋体" w:eastAsia="宋体" w:cs="宋体"/>
          <w:sz w:val="24"/>
          <w:szCs w:val="24"/>
          <w:lang w:eastAsia="zh-CN"/>
        </w:rPr>
        <w:t>应在收到结算单明细</w:t>
      </w:r>
      <w:r>
        <w:rPr>
          <w:rFonts w:hint="eastAsia" w:ascii="宋体" w:hAnsi="宋体" w:eastAsia="宋体" w:cs="宋体"/>
          <w:sz w:val="24"/>
          <w:szCs w:val="24"/>
        </w:rPr>
        <w:t>后</w:t>
      </w:r>
      <w:r>
        <w:rPr>
          <w:rFonts w:hint="eastAsia" w:ascii="宋体" w:hAnsi="宋体" w:eastAsia="宋体" w:cs="宋体"/>
          <w:sz w:val="24"/>
          <w:szCs w:val="24"/>
          <w:lang w:val="en-US" w:eastAsia="zh-CN"/>
        </w:rPr>
        <w:t>3</w:t>
      </w:r>
      <w:r>
        <w:rPr>
          <w:rFonts w:hint="eastAsia" w:ascii="宋体" w:hAnsi="宋体" w:eastAsia="宋体" w:cs="宋体"/>
          <w:sz w:val="24"/>
          <w:szCs w:val="24"/>
        </w:rPr>
        <w:t>日内</w:t>
      </w:r>
      <w:r>
        <w:rPr>
          <w:rFonts w:hint="eastAsia" w:ascii="宋体" w:hAnsi="宋体" w:eastAsia="宋体" w:cs="宋体"/>
          <w:sz w:val="24"/>
          <w:szCs w:val="24"/>
          <w:lang w:eastAsia="zh-CN"/>
        </w:rPr>
        <w:t>确认</w:t>
      </w:r>
      <w:r>
        <w:rPr>
          <w:rFonts w:hint="eastAsia" w:ascii="宋体" w:hAnsi="宋体" w:eastAsia="宋体" w:cs="宋体"/>
          <w:sz w:val="24"/>
          <w:szCs w:val="24"/>
        </w:rPr>
        <w:t>上月</w:t>
      </w:r>
      <w:r>
        <w:rPr>
          <w:rFonts w:hint="eastAsia" w:ascii="宋体" w:hAnsi="宋体" w:eastAsia="宋体" w:cs="宋体"/>
          <w:sz w:val="24"/>
          <w:szCs w:val="24"/>
          <w:lang w:eastAsia="zh-CN"/>
        </w:rPr>
        <w:t>仓储</w:t>
      </w:r>
      <w:r>
        <w:rPr>
          <w:rFonts w:hint="eastAsia" w:ascii="宋体" w:hAnsi="宋体" w:eastAsia="宋体" w:cs="宋体"/>
          <w:sz w:val="24"/>
          <w:szCs w:val="24"/>
        </w:rPr>
        <w:t>业务费用，</w:t>
      </w:r>
      <w:r>
        <w:rPr>
          <w:rFonts w:hint="eastAsia" w:ascii="宋体" w:hAnsi="宋体" w:eastAsia="宋体" w:cs="宋体"/>
          <w:sz w:val="24"/>
          <w:szCs w:val="24"/>
          <w:lang w:eastAsia="zh-CN"/>
        </w:rPr>
        <w:t>如有异议，甲方应在收到前述结算资料之日起3日内提出，</w:t>
      </w:r>
      <w:r>
        <w:rPr>
          <w:rFonts w:hint="eastAsia" w:ascii="宋体" w:hAnsi="宋体" w:eastAsia="宋体" w:cs="宋体"/>
          <w:sz w:val="24"/>
          <w:szCs w:val="24"/>
        </w:rPr>
        <w:t>双方应在甲方提出异议之日起2个工作日内共同完成对相关费用的核对和确认。甲方应先支付双方核对无异议的费用，</w:t>
      </w:r>
      <w:r>
        <w:rPr>
          <w:rFonts w:hint="eastAsia" w:ascii="宋体" w:hAnsi="宋体" w:eastAsia="宋体" w:cs="宋体"/>
          <w:sz w:val="24"/>
          <w:szCs w:val="24"/>
          <w:lang w:eastAsia="zh-CN"/>
        </w:rPr>
        <w:t>有异议的部分业务款项可在双方确认后计入下月账单中结算；如无异议，则</w:t>
      </w:r>
      <w:r>
        <w:rPr>
          <w:rFonts w:hint="eastAsia" w:ascii="宋体" w:hAnsi="宋体" w:eastAsia="宋体" w:cs="宋体"/>
          <w:sz w:val="24"/>
          <w:szCs w:val="24"/>
          <w:lang w:val="en-US" w:eastAsia="zh-CN"/>
        </w:rPr>
        <w:t>甲方3日内</w:t>
      </w:r>
      <w:r>
        <w:rPr>
          <w:rFonts w:hint="eastAsia" w:ascii="宋体" w:hAnsi="宋体" w:eastAsia="宋体" w:cs="宋体"/>
          <w:sz w:val="24"/>
          <w:szCs w:val="24"/>
          <w:lang w:eastAsia="zh-CN"/>
        </w:rPr>
        <w:t>通知乙方确认无误，乙方开具发票交付甲方。甲方逾期不确认也不提出书面异议的，视为甲方确认，甲方在收到乙方开具的与上月应付服务费用等额、合法、有效的发票后【</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日内</w:t>
      </w:r>
      <w:r>
        <w:rPr>
          <w:rFonts w:hint="eastAsia" w:ascii="宋体" w:hAnsi="宋体" w:eastAsia="宋体" w:cs="宋体"/>
          <w:sz w:val="24"/>
          <w:szCs w:val="24"/>
          <w:lang w:eastAsia="zh-CN"/>
        </w:rPr>
        <w:t>付款给乙方。</w:t>
      </w:r>
      <w:bookmarkStart w:id="14" w:name="_GoBack"/>
      <w:bookmarkEnd w:id="14"/>
    </w:p>
    <w:p w14:paraId="6ECE2C62">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因甲方原因逾期未支付乙方服务费用的，每逾期1日，乙方有权收取欠付金额每日万分之五的滞纳金；逾期付款超过【</w:t>
      </w:r>
      <w:r>
        <w:rPr>
          <w:rFonts w:hint="eastAsia" w:ascii="宋体" w:hAnsi="宋体" w:eastAsia="宋体" w:cs="宋体"/>
          <w:sz w:val="24"/>
          <w:szCs w:val="24"/>
          <w:lang w:val="en-US" w:eastAsia="zh-CN"/>
        </w:rPr>
        <w:t>15</w:t>
      </w:r>
      <w:r>
        <w:rPr>
          <w:rFonts w:hint="eastAsia" w:ascii="宋体" w:hAnsi="宋体" w:eastAsia="宋体" w:cs="宋体"/>
          <w:sz w:val="24"/>
          <w:szCs w:val="24"/>
        </w:rPr>
        <w:t>】日或拒不付款，乙方有权单方解除本合同或暂停履行本合同约定的各项义务且不承担任何违约责任，同时有权留置</w:t>
      </w:r>
      <w:r>
        <w:rPr>
          <w:rFonts w:hint="eastAsia" w:ascii="宋体" w:hAnsi="宋体" w:eastAsia="宋体" w:cs="宋体"/>
          <w:sz w:val="24"/>
          <w:szCs w:val="24"/>
          <w:lang w:val="en-US" w:eastAsia="zh-CN"/>
        </w:rPr>
        <w:t>储存</w:t>
      </w:r>
      <w:r>
        <w:rPr>
          <w:rFonts w:hint="eastAsia" w:ascii="宋体" w:hAnsi="宋体" w:eastAsia="宋体" w:cs="宋体"/>
          <w:sz w:val="24"/>
          <w:szCs w:val="24"/>
        </w:rPr>
        <w:t>货物。</w:t>
      </w:r>
      <w:r>
        <w:rPr>
          <w:rFonts w:hint="eastAsia" w:ascii="宋体" w:hAnsi="宋体" w:eastAsia="宋体" w:cs="宋体"/>
          <w:sz w:val="24"/>
          <w:szCs w:val="24"/>
          <w:lang w:eastAsia="zh-CN"/>
        </w:rPr>
        <w:t>乙方留置货物</w:t>
      </w:r>
      <w:r>
        <w:rPr>
          <w:rFonts w:hint="eastAsia" w:ascii="宋体" w:hAnsi="宋体" w:eastAsia="宋体" w:cs="宋体"/>
          <w:sz w:val="24"/>
          <w:szCs w:val="24"/>
        </w:rPr>
        <w:t>超过</w:t>
      </w:r>
      <w:r>
        <w:rPr>
          <w:rFonts w:hint="eastAsia" w:ascii="宋体" w:hAnsi="宋体" w:eastAsia="宋体" w:cs="宋体"/>
          <w:sz w:val="24"/>
          <w:szCs w:val="24"/>
          <w:lang w:val="en-US" w:eastAsia="zh-CN"/>
        </w:rPr>
        <w:t>15日甲方</w:t>
      </w:r>
      <w:r>
        <w:rPr>
          <w:rFonts w:hint="eastAsia" w:ascii="宋体" w:hAnsi="宋体" w:eastAsia="宋体" w:cs="宋体"/>
          <w:sz w:val="24"/>
          <w:szCs w:val="24"/>
        </w:rPr>
        <w:t>仍</w:t>
      </w:r>
      <w:r>
        <w:rPr>
          <w:rFonts w:hint="eastAsia" w:ascii="宋体" w:hAnsi="宋体" w:eastAsia="宋体" w:cs="宋体"/>
          <w:sz w:val="24"/>
          <w:szCs w:val="24"/>
          <w:lang w:eastAsia="zh-CN"/>
        </w:rPr>
        <w:t>未足额</w:t>
      </w:r>
      <w:r>
        <w:rPr>
          <w:rFonts w:hint="eastAsia" w:ascii="宋体" w:hAnsi="宋体" w:eastAsia="宋体" w:cs="宋体"/>
          <w:sz w:val="24"/>
          <w:szCs w:val="24"/>
        </w:rPr>
        <w:t>向乙方</w:t>
      </w:r>
      <w:r>
        <w:rPr>
          <w:rFonts w:hint="eastAsia" w:ascii="宋体" w:hAnsi="宋体" w:eastAsia="宋体" w:cs="宋体"/>
          <w:sz w:val="24"/>
          <w:szCs w:val="24"/>
          <w:lang w:eastAsia="zh-CN"/>
        </w:rPr>
        <w:t>支付</w:t>
      </w:r>
      <w:r>
        <w:rPr>
          <w:rFonts w:hint="eastAsia" w:ascii="宋体" w:hAnsi="宋体" w:eastAsia="宋体" w:cs="宋体"/>
          <w:sz w:val="24"/>
          <w:szCs w:val="24"/>
        </w:rPr>
        <w:t>服务费用及违约金</w:t>
      </w:r>
      <w:r>
        <w:rPr>
          <w:rFonts w:hint="eastAsia" w:ascii="宋体" w:hAnsi="宋体" w:eastAsia="宋体" w:cs="宋体"/>
          <w:sz w:val="24"/>
          <w:szCs w:val="24"/>
          <w:lang w:eastAsia="zh-CN"/>
        </w:rPr>
        <w:t>的</w:t>
      </w:r>
      <w:r>
        <w:rPr>
          <w:rFonts w:hint="eastAsia" w:ascii="宋体" w:hAnsi="宋体" w:eastAsia="宋体" w:cs="宋体"/>
          <w:sz w:val="24"/>
          <w:szCs w:val="24"/>
        </w:rPr>
        <w:t>，乙方有权将</w:t>
      </w:r>
      <w:r>
        <w:rPr>
          <w:rFonts w:hint="eastAsia" w:ascii="宋体" w:hAnsi="宋体" w:eastAsia="宋体" w:cs="宋体"/>
          <w:sz w:val="24"/>
          <w:szCs w:val="24"/>
          <w:lang w:eastAsia="zh-CN"/>
        </w:rPr>
        <w:t>留置</w:t>
      </w:r>
      <w:r>
        <w:rPr>
          <w:rFonts w:hint="eastAsia" w:ascii="宋体" w:hAnsi="宋体" w:eastAsia="宋体" w:cs="宋体"/>
          <w:sz w:val="24"/>
          <w:szCs w:val="24"/>
        </w:rPr>
        <w:t>货物折价变卖，所得货款用于抵偿甲方所欠服务费用及违约金及变卖产生的费用。若有余款，由乙方无息保存，并通知甲方取回。若所得货款不足抵偿服务费用及违约金时，乙方保留依法进一步追偿的</w:t>
      </w:r>
      <w:r>
        <w:rPr>
          <w:rFonts w:hint="eastAsia" w:ascii="宋体" w:hAnsi="宋体" w:eastAsia="宋体" w:cs="宋体"/>
          <w:sz w:val="24"/>
          <w:szCs w:val="24"/>
          <w:lang w:eastAsia="zh-CN"/>
        </w:rPr>
        <w:t>权利。</w:t>
      </w:r>
    </w:p>
    <w:p w14:paraId="39EE8556">
      <w:pPr>
        <w:keepNext w:val="0"/>
        <w:keepLines w:val="0"/>
        <w:pageBreakBefore w:val="0"/>
        <w:kinsoku/>
        <w:wordWrap/>
        <w:overflowPunct/>
        <w:topLinePunct w:val="0"/>
        <w:autoSpaceDE/>
        <w:autoSpaceDN/>
        <w:bidi w:val="0"/>
        <w:adjustRightInd/>
        <w:spacing w:line="520" w:lineRule="exact"/>
        <w:ind w:left="449" w:leftChars="214" w:firstLine="0" w:firstLineChars="0"/>
        <w:rPr>
          <w:rFonts w:hint="eastAsia" w:ascii="宋体" w:hAnsi="宋体" w:eastAsia="宋体" w:cs="宋体"/>
          <w:sz w:val="24"/>
          <w:szCs w:val="24"/>
        </w:rPr>
      </w:pPr>
      <w:r>
        <w:rPr>
          <w:rFonts w:hint="eastAsia" w:ascii="宋体" w:hAnsi="宋体" w:eastAsia="宋体" w:cs="宋体"/>
          <w:sz w:val="24"/>
          <w:szCs w:val="24"/>
        </w:rPr>
        <w:t xml:space="preserve">5.3 </w:t>
      </w:r>
      <w:r>
        <w:rPr>
          <w:rFonts w:hint="eastAsia" w:ascii="宋体" w:hAnsi="宋体" w:eastAsia="宋体" w:cs="宋体"/>
          <w:kern w:val="0"/>
          <w:sz w:val="24"/>
          <w:szCs w:val="24"/>
        </w:rPr>
        <w:t>双方账户信息</w:t>
      </w:r>
    </w:p>
    <w:p w14:paraId="456F422A">
      <w:pPr>
        <w:pStyle w:val="3"/>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color w:val="FF0000"/>
          <w:kern w:val="0"/>
          <w:sz w:val="24"/>
          <w:szCs w:val="24"/>
        </w:rPr>
      </w:pPr>
      <w:r>
        <w:rPr>
          <w:rFonts w:hint="eastAsia" w:ascii="宋体" w:hAnsi="宋体" w:eastAsia="宋体" w:cs="宋体"/>
          <w:kern w:val="0"/>
          <w:sz w:val="24"/>
          <w:szCs w:val="24"/>
        </w:rPr>
        <w:t>5.3.1</w:t>
      </w:r>
      <w:r>
        <w:rPr>
          <w:rFonts w:hint="eastAsia" w:ascii="宋体" w:hAnsi="宋体" w:eastAsia="宋体" w:cs="宋体"/>
          <w:kern w:val="0"/>
          <w:sz w:val="24"/>
          <w:szCs w:val="24"/>
          <w:lang w:val="en-US" w:eastAsia="zh-CN" w:bidi="ar-SA"/>
        </w:rPr>
        <w:t xml:space="preserve"> 甲方账户信息</w:t>
      </w:r>
    </w:p>
    <w:p w14:paraId="31691C21">
      <w:pPr>
        <w:keepNext w:val="0"/>
        <w:keepLines w:val="0"/>
        <w:pageBreakBefore w:val="0"/>
        <w:kinsoku/>
        <w:wordWrap/>
        <w:overflowPunct/>
        <w:topLinePunct w:val="0"/>
        <w:autoSpaceDE/>
        <w:autoSpaceDN/>
        <w:bidi w:val="0"/>
        <w:adjustRightInd/>
        <w:spacing w:line="520" w:lineRule="exact"/>
        <w:ind w:firstLine="720" w:firstLineChars="300"/>
        <w:rPr>
          <w:rFonts w:hint="eastAsia" w:ascii="宋体" w:hAnsi="宋体" w:eastAsia="宋体" w:cs="宋体"/>
          <w:b/>
          <w:sz w:val="24"/>
          <w:szCs w:val="24"/>
        </w:rPr>
      </w:pPr>
      <w:r>
        <w:rPr>
          <w:rFonts w:hint="eastAsia" w:ascii="宋体" w:hAnsi="宋体" w:eastAsia="宋体" w:cs="宋体"/>
          <w:kern w:val="0"/>
          <w:sz w:val="24"/>
          <w:szCs w:val="24"/>
        </w:rPr>
        <w:t xml:space="preserve">甲方银行账号： </w:t>
      </w:r>
    </w:p>
    <w:p w14:paraId="38A52B24">
      <w:pPr>
        <w:pStyle w:val="3"/>
        <w:keepNext w:val="0"/>
        <w:keepLines w:val="0"/>
        <w:pageBreakBefore w:val="0"/>
        <w:kinsoku/>
        <w:wordWrap/>
        <w:overflowPunct/>
        <w:topLinePunct w:val="0"/>
        <w:autoSpaceDE/>
        <w:autoSpaceDN/>
        <w:bidi w:val="0"/>
        <w:adjustRightInd/>
        <w:spacing w:line="520" w:lineRule="exact"/>
        <w:ind w:firstLine="720" w:firstLineChars="300"/>
        <w:rPr>
          <w:rFonts w:hint="eastAsia" w:ascii="宋体" w:hAnsi="宋体" w:eastAsia="宋体" w:cs="宋体"/>
          <w:kern w:val="0"/>
          <w:sz w:val="24"/>
          <w:szCs w:val="24"/>
        </w:rPr>
      </w:pPr>
      <w:r>
        <w:rPr>
          <w:rFonts w:hint="eastAsia" w:ascii="宋体" w:hAnsi="宋体" w:eastAsia="宋体" w:cs="宋体"/>
          <w:kern w:val="0"/>
          <w:sz w:val="24"/>
          <w:szCs w:val="24"/>
        </w:rPr>
        <w:t xml:space="preserve">公司名称： </w:t>
      </w:r>
    </w:p>
    <w:p w14:paraId="1DAE8EB3">
      <w:pPr>
        <w:pStyle w:val="3"/>
        <w:keepNext w:val="0"/>
        <w:keepLines w:val="0"/>
        <w:pageBreakBefore w:val="0"/>
        <w:kinsoku/>
        <w:wordWrap/>
        <w:overflowPunct/>
        <w:topLinePunct w:val="0"/>
        <w:autoSpaceDE/>
        <w:autoSpaceDN/>
        <w:bidi w:val="0"/>
        <w:adjustRightInd/>
        <w:spacing w:line="520" w:lineRule="exact"/>
        <w:ind w:firstLine="720" w:firstLineChars="300"/>
        <w:rPr>
          <w:rFonts w:hint="eastAsia" w:ascii="宋体" w:hAnsi="宋体" w:eastAsia="宋体" w:cs="宋体"/>
          <w:kern w:val="0"/>
          <w:sz w:val="24"/>
          <w:szCs w:val="24"/>
        </w:rPr>
      </w:pPr>
      <w:r>
        <w:rPr>
          <w:rFonts w:hint="eastAsia" w:ascii="宋体" w:hAnsi="宋体" w:eastAsia="宋体" w:cs="宋体"/>
          <w:kern w:val="0"/>
          <w:sz w:val="24"/>
          <w:szCs w:val="24"/>
        </w:rPr>
        <w:t>税号：</w:t>
      </w:r>
    </w:p>
    <w:p w14:paraId="09F3C88C">
      <w:pPr>
        <w:keepNext w:val="0"/>
        <w:keepLines w:val="0"/>
        <w:pageBreakBefore w:val="0"/>
        <w:kinsoku/>
        <w:wordWrap/>
        <w:overflowPunct/>
        <w:topLinePunct w:val="0"/>
        <w:autoSpaceDE/>
        <w:autoSpaceDN/>
        <w:bidi w:val="0"/>
        <w:adjustRightInd/>
        <w:spacing w:line="520" w:lineRule="exact"/>
        <w:ind w:firstLine="720" w:firstLineChars="300"/>
        <w:rPr>
          <w:rFonts w:hint="eastAsia" w:ascii="宋体" w:hAnsi="宋体" w:eastAsia="宋体" w:cs="宋体"/>
          <w:sz w:val="24"/>
          <w:szCs w:val="24"/>
        </w:rPr>
      </w:pPr>
      <w:r>
        <w:rPr>
          <w:rFonts w:hint="eastAsia" w:ascii="宋体" w:hAnsi="宋体" w:eastAsia="宋体" w:cs="宋体"/>
          <w:kern w:val="0"/>
          <w:sz w:val="24"/>
          <w:szCs w:val="24"/>
        </w:rPr>
        <w:t>开户银行：</w:t>
      </w:r>
      <w:r>
        <w:rPr>
          <w:rFonts w:hint="eastAsia" w:ascii="宋体" w:hAnsi="宋体" w:eastAsia="宋体" w:cs="宋体"/>
          <w:sz w:val="24"/>
          <w:szCs w:val="24"/>
        </w:rPr>
        <w:t xml:space="preserve"> </w:t>
      </w:r>
    </w:p>
    <w:p w14:paraId="3FBF9711">
      <w:pPr>
        <w:pStyle w:val="3"/>
        <w:keepNext w:val="0"/>
        <w:keepLines w:val="0"/>
        <w:pageBreakBefore w:val="0"/>
        <w:kinsoku/>
        <w:wordWrap/>
        <w:overflowPunct/>
        <w:topLinePunct w:val="0"/>
        <w:autoSpaceDE/>
        <w:autoSpaceDN/>
        <w:bidi w:val="0"/>
        <w:adjustRightInd/>
        <w:spacing w:line="520" w:lineRule="exact"/>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5.3.2 乙方账户信息</w:t>
      </w:r>
    </w:p>
    <w:p w14:paraId="36A9DA00">
      <w:pPr>
        <w:pStyle w:val="3"/>
        <w:keepNext w:val="0"/>
        <w:keepLines w:val="0"/>
        <w:pageBreakBefore w:val="0"/>
        <w:kinsoku/>
        <w:wordWrap/>
        <w:overflowPunct/>
        <w:topLinePunct w:val="0"/>
        <w:autoSpaceDE/>
        <w:autoSpaceDN/>
        <w:bidi w:val="0"/>
        <w:adjustRightInd/>
        <w:spacing w:line="520" w:lineRule="exact"/>
        <w:ind w:firstLine="720" w:firstLineChars="300"/>
        <w:rPr>
          <w:rFonts w:hint="eastAsia" w:ascii="宋体" w:hAnsi="宋体" w:eastAsia="宋体" w:cs="宋体"/>
          <w:kern w:val="0"/>
          <w:sz w:val="24"/>
          <w:szCs w:val="24"/>
        </w:rPr>
      </w:pPr>
      <w:r>
        <w:rPr>
          <w:rFonts w:hint="eastAsia" w:ascii="宋体" w:hAnsi="宋体" w:eastAsia="宋体" w:cs="宋体"/>
          <w:kern w:val="0"/>
          <w:sz w:val="24"/>
          <w:szCs w:val="24"/>
        </w:rPr>
        <w:t>乙方银行账号：</w:t>
      </w:r>
    </w:p>
    <w:p w14:paraId="544878C8">
      <w:pPr>
        <w:pStyle w:val="3"/>
        <w:keepNext w:val="0"/>
        <w:keepLines w:val="0"/>
        <w:pageBreakBefore w:val="0"/>
        <w:kinsoku/>
        <w:wordWrap/>
        <w:overflowPunct/>
        <w:topLinePunct w:val="0"/>
        <w:autoSpaceDE/>
        <w:autoSpaceDN/>
        <w:bidi w:val="0"/>
        <w:adjustRightInd/>
        <w:spacing w:line="520" w:lineRule="exact"/>
        <w:ind w:firstLine="720" w:firstLineChars="300"/>
        <w:rPr>
          <w:rFonts w:hint="eastAsia" w:ascii="宋体" w:hAnsi="宋体" w:eastAsia="宋体" w:cs="宋体"/>
          <w:kern w:val="0"/>
          <w:sz w:val="24"/>
          <w:szCs w:val="24"/>
        </w:rPr>
      </w:pPr>
      <w:r>
        <w:rPr>
          <w:rFonts w:hint="eastAsia" w:ascii="宋体" w:hAnsi="宋体" w:eastAsia="宋体" w:cs="宋体"/>
          <w:kern w:val="0"/>
          <w:sz w:val="24"/>
          <w:szCs w:val="24"/>
        </w:rPr>
        <w:t>公司名称：</w:t>
      </w:r>
    </w:p>
    <w:p w14:paraId="43C58973">
      <w:pPr>
        <w:pStyle w:val="3"/>
        <w:keepNext w:val="0"/>
        <w:keepLines w:val="0"/>
        <w:pageBreakBefore w:val="0"/>
        <w:kinsoku/>
        <w:wordWrap/>
        <w:overflowPunct/>
        <w:topLinePunct w:val="0"/>
        <w:autoSpaceDE/>
        <w:autoSpaceDN/>
        <w:bidi w:val="0"/>
        <w:adjustRightInd/>
        <w:spacing w:line="520" w:lineRule="exact"/>
        <w:ind w:firstLine="720" w:firstLineChars="300"/>
        <w:rPr>
          <w:rFonts w:hint="eastAsia" w:ascii="宋体" w:hAnsi="宋体" w:eastAsia="宋体" w:cs="宋体"/>
          <w:kern w:val="0"/>
          <w:sz w:val="24"/>
          <w:szCs w:val="24"/>
        </w:rPr>
      </w:pPr>
      <w:r>
        <w:rPr>
          <w:rFonts w:hint="eastAsia" w:ascii="宋体" w:hAnsi="宋体" w:eastAsia="宋体" w:cs="宋体"/>
          <w:kern w:val="0"/>
          <w:sz w:val="24"/>
          <w:szCs w:val="24"/>
        </w:rPr>
        <w:t>税号：</w:t>
      </w:r>
    </w:p>
    <w:p w14:paraId="0F6D45CC">
      <w:pPr>
        <w:pStyle w:val="3"/>
        <w:keepNext w:val="0"/>
        <w:keepLines w:val="0"/>
        <w:pageBreakBefore w:val="0"/>
        <w:kinsoku/>
        <w:wordWrap/>
        <w:overflowPunct/>
        <w:topLinePunct w:val="0"/>
        <w:autoSpaceDE/>
        <w:autoSpaceDN/>
        <w:bidi w:val="0"/>
        <w:adjustRightInd/>
        <w:spacing w:line="520" w:lineRule="exact"/>
        <w:ind w:firstLine="720" w:firstLineChars="300"/>
        <w:rPr>
          <w:rFonts w:hint="eastAsia" w:ascii="宋体" w:hAnsi="宋体" w:eastAsia="宋体" w:cs="宋体"/>
          <w:kern w:val="0"/>
          <w:sz w:val="24"/>
          <w:szCs w:val="24"/>
        </w:rPr>
      </w:pPr>
      <w:r>
        <w:rPr>
          <w:rFonts w:hint="eastAsia" w:ascii="宋体" w:hAnsi="宋体" w:eastAsia="宋体" w:cs="宋体"/>
          <w:kern w:val="0"/>
          <w:sz w:val="24"/>
          <w:szCs w:val="24"/>
        </w:rPr>
        <w:t xml:space="preserve">开户银行： </w:t>
      </w:r>
    </w:p>
    <w:p w14:paraId="35FF45D8">
      <w:pPr>
        <w:pStyle w:val="3"/>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如乙方上述银行账户信息有所变更，应提前</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日通知甲方，否则，乙方应承担由此产生的直接损失。</w:t>
      </w:r>
    </w:p>
    <w:p w14:paraId="17D7F5C4">
      <w:pPr>
        <w:keepNext w:val="0"/>
        <w:keepLines w:val="0"/>
        <w:pageBreakBefore w:val="0"/>
        <w:numPr>
          <w:ilvl w:val="0"/>
          <w:numId w:val="0"/>
        </w:numPr>
        <w:kinsoku/>
        <w:wordWrap/>
        <w:overflowPunct/>
        <w:topLinePunct w:val="0"/>
        <w:autoSpaceDE/>
        <w:autoSpaceDN/>
        <w:bidi w:val="0"/>
        <w:adjustRightInd/>
        <w:snapToGrid w:val="0"/>
        <w:spacing w:line="520" w:lineRule="exact"/>
        <w:ind w:right="248" w:rightChars="118"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SA"/>
        </w:rPr>
        <w:t>5.4 除双方另有约定外，对于违约方应赔付的损失或支付的违约金，守约方应开具合法发票给违约方，违约方应在收到发票后【30】日内支付。</w:t>
      </w:r>
    </w:p>
    <w:p w14:paraId="48697883">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b/>
          <w:sz w:val="24"/>
          <w:szCs w:val="24"/>
        </w:rPr>
      </w:pPr>
      <w:bookmarkStart w:id="10" w:name="_Toc392595796"/>
      <w:r>
        <w:rPr>
          <w:rFonts w:hint="eastAsia" w:ascii="宋体" w:hAnsi="宋体" w:eastAsia="宋体" w:cs="宋体"/>
          <w:b/>
          <w:sz w:val="24"/>
          <w:szCs w:val="24"/>
          <w:lang w:eastAsia="zh-CN"/>
        </w:rPr>
        <w:t>第六条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保密责任</w:t>
      </w:r>
      <w:bookmarkEnd w:id="10"/>
    </w:p>
    <w:p w14:paraId="02576A6E">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6.1 双方保证对从另一方取得且无法自公开渠道获得的商业秘密（技术信息、经营信息及其他商业秘密）予以保密。未经该商业秘密的原提供方的书面许可，一方不得向任何第三方泄露该商业秘密的全部或部分内容。但法律、法规另有规定或双方另有约定的除外。</w:t>
      </w:r>
    </w:p>
    <w:p w14:paraId="4E242F05">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bookmarkStart w:id="11" w:name="_Toc392595797"/>
      <w:r>
        <w:rPr>
          <w:rFonts w:hint="eastAsia" w:ascii="宋体" w:hAnsi="宋体" w:eastAsia="宋体" w:cs="宋体"/>
          <w:sz w:val="24"/>
          <w:szCs w:val="24"/>
        </w:rPr>
        <w:t>6.2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保密期限为第一次洽谈业务或提供保密信息之日起（以在前的日期为准）至本协议</w:t>
      </w:r>
      <w:r>
        <w:rPr>
          <w:rFonts w:hint="eastAsia" w:ascii="宋体" w:hAnsi="宋体" w:eastAsia="宋体" w:cs="宋体"/>
          <w:sz w:val="24"/>
          <w:szCs w:val="24"/>
          <w:lang w:eastAsia="zh-CN"/>
        </w:rPr>
        <w:t>解除</w:t>
      </w:r>
      <w:r>
        <w:rPr>
          <w:rFonts w:hint="eastAsia" w:ascii="宋体" w:hAnsi="宋体" w:eastAsia="宋体" w:cs="宋体"/>
          <w:sz w:val="24"/>
          <w:szCs w:val="24"/>
          <w:lang w:val="en-US" w:eastAsia="zh-CN"/>
        </w:rPr>
        <w:t>/到期</w:t>
      </w:r>
      <w:r>
        <w:rPr>
          <w:rFonts w:hint="eastAsia" w:ascii="宋体" w:hAnsi="宋体" w:eastAsia="宋体" w:cs="宋体"/>
          <w:sz w:val="24"/>
          <w:szCs w:val="24"/>
        </w:rPr>
        <w:t>后3年。</w:t>
      </w:r>
    </w:p>
    <w:p w14:paraId="147B34CF">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b/>
          <w:sz w:val="24"/>
          <w:szCs w:val="24"/>
        </w:rPr>
      </w:pPr>
      <w:r>
        <w:rPr>
          <w:rFonts w:hint="eastAsia" w:ascii="宋体" w:hAnsi="宋体" w:eastAsia="宋体" w:cs="宋体"/>
          <w:b/>
          <w:sz w:val="24"/>
          <w:szCs w:val="24"/>
          <w:lang w:eastAsia="zh-CN"/>
        </w:rPr>
        <w:t>第七条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不可抗力及免责条款</w:t>
      </w:r>
    </w:p>
    <w:p w14:paraId="1A793832">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7.1 甲乙双方应当按照合同约定全面、正确、适当的履行义务并承担相应的责任。如果出现不可抗力，双方在本合同中的义务将在不可抗力影响范围及其持续期间内中止履行。任何一方不应承担其控制范围之外的不可抗力原因造成的未能履行其本合同义务的责任。如果其中一方因为不可抗力或双方约定的免责事由出现，给另一方造成损失的，不承担赔偿责任。</w:t>
      </w:r>
    </w:p>
    <w:p w14:paraId="348C316B">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7.2 本条所称“不可抗力”系指不能预见、不能避免或不能克服的客观事件，包括但不限于自然灾害如洪水、地震和风暴等以及社会事件如基础电信运营商网络出现严重电力或网络故障，战争、动乱、政府行为、国家政策的突然变动和罢工等。</w:t>
      </w:r>
    </w:p>
    <w:p w14:paraId="73B69421">
      <w:pPr>
        <w:keepNext w:val="0"/>
        <w:keepLines w:val="0"/>
        <w:pageBreakBefore w:val="0"/>
        <w:kinsoku/>
        <w:wordWrap/>
        <w:overflowPunct/>
        <w:topLinePunct w:val="0"/>
        <w:autoSpaceDE/>
        <w:autoSpaceDN/>
        <w:bidi w:val="0"/>
        <w:adjustRightInd/>
        <w:spacing w:line="520" w:lineRule="exact"/>
        <w:ind w:left="240" w:hanging="241" w:hangingChars="100"/>
        <w:rPr>
          <w:rFonts w:hint="eastAsia" w:ascii="宋体" w:hAnsi="宋体" w:eastAsia="宋体" w:cs="宋体"/>
          <w:b/>
          <w:sz w:val="24"/>
          <w:szCs w:val="24"/>
        </w:rPr>
      </w:pPr>
      <w:r>
        <w:rPr>
          <w:rFonts w:hint="eastAsia" w:ascii="宋体" w:hAnsi="宋体" w:eastAsia="宋体" w:cs="宋体"/>
          <w:b/>
          <w:sz w:val="24"/>
          <w:szCs w:val="24"/>
          <w:lang w:eastAsia="zh-CN"/>
        </w:rPr>
        <w:t>第八条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 xml:space="preserve">合同生效、期限和解除                                                           </w:t>
      </w:r>
    </w:p>
    <w:p w14:paraId="364F3E26">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bCs/>
          <w:sz w:val="24"/>
          <w:szCs w:val="24"/>
        </w:rPr>
      </w:pPr>
      <w:r>
        <w:rPr>
          <w:rFonts w:hint="eastAsia" w:ascii="宋体" w:hAnsi="宋体" w:eastAsia="宋体" w:cs="宋体"/>
          <w:sz w:val="24"/>
          <w:szCs w:val="24"/>
        </w:rPr>
        <w:t>8.1 本合同有效期</w:t>
      </w:r>
      <w:r>
        <w:rPr>
          <w:rFonts w:hint="eastAsia" w:ascii="宋体" w:hAnsi="宋体" w:eastAsia="宋体" w:cs="宋体"/>
          <w:sz w:val="24"/>
          <w:szCs w:val="24"/>
          <w:lang w:eastAsia="zh-CN"/>
        </w:rPr>
        <w:t>自【</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日起</w:t>
      </w:r>
      <w:r>
        <w:rPr>
          <w:rFonts w:hint="eastAsia" w:ascii="宋体" w:hAnsi="宋体" w:eastAsia="宋体" w:cs="宋体"/>
          <w:sz w:val="24"/>
          <w:szCs w:val="24"/>
          <w:lang w:eastAsia="zh-CN"/>
        </w:rPr>
        <w:t>至【</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日止，</w:t>
      </w:r>
      <w:r>
        <w:rPr>
          <w:rFonts w:hint="eastAsia" w:ascii="宋体" w:hAnsi="宋体" w:eastAsia="宋体" w:cs="宋体"/>
          <w:bCs/>
          <w:sz w:val="24"/>
          <w:szCs w:val="24"/>
        </w:rPr>
        <w:t>本合同期限届满后，双方若未能就续约事宜达成一致，仍实际发生交易往来者，均视为接受本合同约束，其约束力自然延续至该交易，双方产生的权利与义务仍按照本合同约定执行。</w:t>
      </w:r>
    </w:p>
    <w:p w14:paraId="3C5AAF9F">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8.2 若一方需提前终止本合同，应提前一个月书面通知对方，经双方协商一致同意可提前终止本合同，双方签订终止协议。</w:t>
      </w:r>
      <w:r>
        <w:rPr>
          <w:rFonts w:hint="eastAsia" w:ascii="宋体" w:hAnsi="宋体" w:eastAsia="宋体" w:cs="宋体"/>
          <w:bCs/>
          <w:sz w:val="24"/>
          <w:szCs w:val="24"/>
          <w:lang w:val="en-US" w:eastAsia="zh-CN"/>
        </w:rPr>
        <w:t>否则</w:t>
      </w:r>
      <w:r>
        <w:rPr>
          <w:rFonts w:hint="eastAsia" w:ascii="宋体" w:hAnsi="宋体" w:eastAsia="宋体" w:cs="宋体"/>
          <w:bCs/>
          <w:sz w:val="24"/>
          <w:szCs w:val="24"/>
        </w:rPr>
        <w:t>需支付</w:t>
      </w:r>
      <w:r>
        <w:rPr>
          <w:rFonts w:hint="eastAsia" w:ascii="宋体" w:hAnsi="宋体" w:eastAsia="宋体" w:cs="宋体"/>
          <w:bCs/>
          <w:sz w:val="24"/>
          <w:szCs w:val="24"/>
          <w:lang w:val="en-US" w:eastAsia="zh-CN"/>
        </w:rPr>
        <w:t>对方三</w:t>
      </w:r>
      <w:r>
        <w:rPr>
          <w:rFonts w:hint="eastAsia" w:ascii="宋体" w:hAnsi="宋体" w:eastAsia="宋体" w:cs="宋体"/>
          <w:bCs/>
          <w:sz w:val="24"/>
          <w:szCs w:val="24"/>
        </w:rPr>
        <w:t>个月的服务费用作为违约金，具体金额为合作期间的最近三个月平均费用。</w:t>
      </w:r>
    </w:p>
    <w:p w14:paraId="3CD6B27A">
      <w:pPr>
        <w:spacing w:before="0" w:beforeLines="-2147483648" w:after="0" w:afterLines="-2147483648"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lang w:eastAsia="zh-CN"/>
        </w:rPr>
        <w:t>8</w:t>
      </w:r>
      <w:r>
        <w:rPr>
          <w:rFonts w:hint="eastAsia" w:ascii="宋体" w:hAnsi="宋体" w:eastAsia="宋体" w:cs="宋体"/>
          <w:bCs/>
          <w:sz w:val="24"/>
          <w:szCs w:val="24"/>
          <w:lang w:val="en-US" w:eastAsia="zh-CN"/>
        </w:rPr>
        <w:t xml:space="preserve">.3 </w:t>
      </w:r>
      <w:r>
        <w:rPr>
          <w:rFonts w:hint="eastAsia" w:ascii="宋体" w:hAnsi="宋体" w:eastAsia="宋体" w:cs="宋体"/>
          <w:bCs/>
          <w:sz w:val="24"/>
          <w:szCs w:val="24"/>
        </w:rPr>
        <w:t>有下列情形之一，乙方有权选择提前解除本合同，并要求甲方承担全部法律责任并赔偿乙方全部经济损失：</w:t>
      </w:r>
    </w:p>
    <w:p w14:paraId="78D7C8CB">
      <w:pPr>
        <w:spacing w:before="0" w:beforeLines="-2147483648" w:after="0" w:afterLines="-2147483648"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lang w:eastAsia="zh-CN"/>
        </w:rPr>
        <w:t>8</w:t>
      </w:r>
      <w:r>
        <w:rPr>
          <w:rFonts w:hint="eastAsia" w:ascii="宋体" w:hAnsi="宋体" w:eastAsia="宋体" w:cs="宋体"/>
          <w:bCs/>
          <w:sz w:val="24"/>
          <w:szCs w:val="24"/>
          <w:lang w:val="en-US" w:eastAsia="zh-CN"/>
        </w:rPr>
        <w:t xml:space="preserve">.3.1 </w:t>
      </w:r>
      <w:r>
        <w:rPr>
          <w:rFonts w:hint="eastAsia" w:ascii="宋体" w:hAnsi="宋体" w:eastAsia="宋体" w:cs="宋体"/>
          <w:bCs/>
          <w:sz w:val="24"/>
          <w:szCs w:val="24"/>
        </w:rPr>
        <w:t>甲方无法定事由</w:t>
      </w:r>
      <w:r>
        <w:rPr>
          <w:rFonts w:hint="eastAsia" w:ascii="宋体" w:hAnsi="宋体" w:eastAsia="宋体" w:cs="宋体"/>
          <w:bCs/>
          <w:sz w:val="24"/>
          <w:szCs w:val="24"/>
          <w:lang w:val="en-US" w:eastAsia="zh-CN"/>
        </w:rPr>
        <w:t>拖延结算服务费用或</w:t>
      </w:r>
      <w:r>
        <w:rPr>
          <w:rFonts w:hint="eastAsia" w:ascii="宋体" w:hAnsi="宋体" w:eastAsia="宋体" w:cs="宋体"/>
          <w:bCs/>
          <w:sz w:val="24"/>
          <w:szCs w:val="24"/>
        </w:rPr>
        <w:t>拖欠乙方全部或部分结算费用超过15日。</w:t>
      </w:r>
    </w:p>
    <w:p w14:paraId="5EAF10BB">
      <w:pPr>
        <w:spacing w:before="0" w:beforeLines="-2147483648" w:after="0" w:afterLines="-2147483648" w:line="520" w:lineRule="exact"/>
        <w:ind w:left="0" w:leftChars="0" w:firstLine="480" w:firstLineChars="200"/>
        <w:rPr>
          <w:rFonts w:hint="eastAsia" w:ascii="宋体" w:hAnsi="宋体" w:eastAsia="宋体" w:cs="宋体"/>
          <w:bCs/>
          <w:sz w:val="24"/>
          <w:szCs w:val="24"/>
        </w:rPr>
      </w:pPr>
      <w:r>
        <w:rPr>
          <w:rFonts w:hint="eastAsia" w:ascii="宋体" w:hAnsi="宋体" w:eastAsia="宋体" w:cs="宋体"/>
          <w:bCs/>
          <w:sz w:val="24"/>
          <w:szCs w:val="24"/>
          <w:lang w:eastAsia="zh-CN"/>
        </w:rPr>
        <w:t>8</w:t>
      </w:r>
      <w:r>
        <w:rPr>
          <w:rFonts w:hint="eastAsia" w:ascii="宋体" w:hAnsi="宋体" w:eastAsia="宋体" w:cs="宋体"/>
          <w:bCs/>
          <w:sz w:val="24"/>
          <w:szCs w:val="24"/>
          <w:lang w:val="en-US" w:eastAsia="zh-CN"/>
        </w:rPr>
        <w:t>.3.2</w:t>
      </w:r>
      <w:r>
        <w:rPr>
          <w:rFonts w:hint="eastAsia" w:ascii="宋体" w:hAnsi="宋体" w:eastAsia="宋体" w:cs="宋体"/>
          <w:bCs/>
          <w:sz w:val="24"/>
          <w:szCs w:val="24"/>
        </w:rPr>
        <w:t>甲方通过乙方提供的</w:t>
      </w:r>
      <w:r>
        <w:rPr>
          <w:rFonts w:hint="eastAsia" w:ascii="宋体" w:hAnsi="宋体" w:eastAsia="宋体" w:cs="宋体"/>
          <w:b w:val="0"/>
          <w:bCs/>
          <w:sz w:val="24"/>
          <w:szCs w:val="24"/>
          <w:lang w:val="en-US" w:eastAsia="zh-CN"/>
        </w:rPr>
        <w:t>库房存储</w:t>
      </w:r>
      <w:r>
        <w:rPr>
          <w:rFonts w:hint="eastAsia" w:ascii="宋体" w:hAnsi="宋体" w:eastAsia="宋体" w:cs="宋体"/>
          <w:bCs/>
          <w:sz w:val="24"/>
          <w:szCs w:val="24"/>
        </w:rPr>
        <w:t>有毒和易燃易爆或违反法律法规的物品，未如实告知或故意掩盖货物性质的。</w:t>
      </w:r>
    </w:p>
    <w:p w14:paraId="7B5EE4D9">
      <w:pPr>
        <w:spacing w:line="52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8.3.3 甲方存在其他违约情形，经乙方书面告知后仍未纠正的。</w:t>
      </w:r>
    </w:p>
    <w:p w14:paraId="0B78B4A4">
      <w:pPr>
        <w:spacing w:line="520" w:lineRule="exact"/>
        <w:ind w:firstLineChars="200"/>
        <w:rPr>
          <w:rFonts w:hint="default" w:ascii="宋体" w:hAnsi="宋体" w:eastAsia="宋体" w:cs="宋体"/>
          <w:bCs/>
          <w:sz w:val="24"/>
          <w:szCs w:val="24"/>
        </w:rPr>
      </w:pPr>
      <w:r>
        <w:rPr>
          <w:rFonts w:hint="eastAsia" w:ascii="宋体" w:hAnsi="宋体" w:eastAsia="宋体" w:cs="宋体"/>
          <w:bCs/>
          <w:sz w:val="24"/>
          <w:szCs w:val="24"/>
        </w:rPr>
        <w:t>乙方依据上述情形提前解除本合同时，应书面通知甲方。乙方亦可选择不予解除本合同，但</w:t>
      </w:r>
      <w:r>
        <w:rPr>
          <w:rFonts w:hint="eastAsia" w:ascii="宋体" w:hAnsi="宋体" w:eastAsia="宋体" w:cs="宋体"/>
          <w:bCs/>
          <w:sz w:val="24"/>
          <w:szCs w:val="24"/>
          <w:lang w:val="en-US" w:eastAsia="zh-CN"/>
        </w:rPr>
        <w:t>不论</w:t>
      </w:r>
      <w:r>
        <w:rPr>
          <w:rFonts w:hint="eastAsia" w:ascii="宋体" w:hAnsi="宋体" w:eastAsia="宋体" w:cs="宋体"/>
          <w:bCs/>
          <w:sz w:val="24"/>
          <w:szCs w:val="24"/>
        </w:rPr>
        <w:t>乙方</w:t>
      </w:r>
      <w:r>
        <w:rPr>
          <w:rFonts w:hint="eastAsia" w:ascii="宋体" w:hAnsi="宋体" w:eastAsia="宋体" w:cs="宋体"/>
          <w:bCs/>
          <w:sz w:val="24"/>
          <w:szCs w:val="24"/>
          <w:lang w:val="en-US" w:eastAsia="zh-CN"/>
        </w:rPr>
        <w:t>选择继续履行合同或提前解除合同，乙方均</w:t>
      </w:r>
      <w:r>
        <w:rPr>
          <w:rFonts w:hint="eastAsia" w:ascii="宋体" w:hAnsi="宋体" w:eastAsia="宋体" w:cs="宋体"/>
          <w:bCs/>
          <w:sz w:val="24"/>
          <w:szCs w:val="24"/>
        </w:rPr>
        <w:t>有权要求甲方按</w:t>
      </w:r>
      <w:r>
        <w:rPr>
          <w:rFonts w:hint="eastAsia" w:ascii="宋体" w:hAnsi="宋体" w:eastAsia="宋体" w:cs="宋体"/>
          <w:bCs/>
          <w:sz w:val="24"/>
          <w:szCs w:val="24"/>
          <w:lang w:val="en-US" w:eastAsia="zh-CN"/>
        </w:rPr>
        <w:t>8.2条</w:t>
      </w:r>
      <w:r>
        <w:rPr>
          <w:rFonts w:hint="eastAsia" w:ascii="宋体" w:hAnsi="宋体" w:eastAsia="宋体" w:cs="宋体"/>
          <w:bCs/>
          <w:sz w:val="24"/>
          <w:szCs w:val="24"/>
        </w:rPr>
        <w:t>约定承担违约责任并赔偿乙方全部经济损失。</w:t>
      </w:r>
      <w:r>
        <w:rPr>
          <w:rFonts w:hint="eastAsia" w:ascii="宋体" w:hAnsi="宋体" w:eastAsia="宋体" w:cs="宋体"/>
          <w:bCs/>
          <w:sz w:val="24"/>
          <w:szCs w:val="24"/>
          <w:lang w:val="en-US" w:eastAsia="zh-CN"/>
        </w:rPr>
        <w:t>甲</w:t>
      </w:r>
      <w:r>
        <w:rPr>
          <w:rFonts w:hint="eastAsia" w:ascii="宋体" w:hAnsi="宋体" w:eastAsia="宋体" w:cs="宋体"/>
          <w:bCs/>
          <w:color w:val="auto"/>
          <w:sz w:val="24"/>
          <w:szCs w:val="24"/>
          <w:highlight w:val="none"/>
          <w:lang w:val="en-US" w:eastAsia="zh-CN"/>
        </w:rPr>
        <w:t>方赔偿范围包括但不限于乙方因提前解除合同或因甲方违约而遭受的经营利润损失、人工损失、服务费损失、对第三方的违约责任和损失赔偿、诉讼费、保全费、律师费、办案差旅费、鉴定费、公证费、行政罚款等合理费用。</w:t>
      </w:r>
    </w:p>
    <w:p w14:paraId="319F0CBA">
      <w:pPr>
        <w:spacing w:before="0" w:beforeLines="-2147483648" w:after="0" w:afterLines="-2147483648"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8.4 乙方因疫情影响或库房价格变动较大等原因造成项目</w:t>
      </w:r>
      <w:r>
        <w:rPr>
          <w:rFonts w:hint="eastAsia" w:ascii="宋体" w:hAnsi="宋体" w:eastAsia="宋体" w:cs="宋体"/>
          <w:sz w:val="24"/>
          <w:szCs w:val="24"/>
          <w:lang w:val="en-US" w:eastAsia="zh-CN"/>
        </w:rPr>
        <w:t>亏损、无法正常运营项目的，乙方有权与甲方协商，双方本着公平原则处理。若双方最终未能达成一致意见的，乙方有权单方无责终止本合同，但应提前30日通知甲方。</w:t>
      </w:r>
    </w:p>
    <w:bookmarkEnd w:id="11"/>
    <w:p w14:paraId="7F932F72">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b/>
          <w:sz w:val="24"/>
          <w:szCs w:val="24"/>
        </w:rPr>
      </w:pPr>
      <w:bookmarkStart w:id="12" w:name="_Toc392595802"/>
      <w:r>
        <w:rPr>
          <w:rFonts w:hint="eastAsia" w:ascii="宋体" w:hAnsi="宋体" w:eastAsia="宋体" w:cs="宋体"/>
          <w:b/>
          <w:sz w:val="24"/>
          <w:szCs w:val="24"/>
          <w:lang w:eastAsia="zh-CN"/>
        </w:rPr>
        <w:t>第九条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文书及送达</w:t>
      </w:r>
    </w:p>
    <w:p w14:paraId="3D117076">
      <w:pPr>
        <w:spacing w:before="156" w:beforeLines="50" w:after="156"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本合同项下一切文件资料、通知或权利主张等均按下述地址进行送达：</w:t>
      </w:r>
    </w:p>
    <w:p w14:paraId="733315E6">
      <w:pPr>
        <w:spacing w:before="156" w:beforeLines="50" w:after="156"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甲方地址： 【                          】 </w:t>
      </w:r>
    </w:p>
    <w:p w14:paraId="725C0D33">
      <w:pPr>
        <w:spacing w:before="156" w:beforeLines="50" w:after="156"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甲方联系人：【                          】</w:t>
      </w:r>
    </w:p>
    <w:p w14:paraId="2AF3FD5B">
      <w:pPr>
        <w:pStyle w:val="2"/>
        <w:ind w:left="0" w:leftChars="0" w:firstLine="480" w:firstLineChars="200"/>
        <w:rPr>
          <w:rFonts w:hint="eastAsia"/>
          <w:lang w:val="en-US" w:eastAsia="zh-CN"/>
        </w:rPr>
      </w:pPr>
      <w:r>
        <w:rPr>
          <w:rFonts w:hint="eastAsia" w:cs="宋体"/>
          <w:sz w:val="24"/>
          <w:szCs w:val="24"/>
          <w:lang w:val="en-US" w:eastAsia="zh-CN"/>
        </w:rPr>
        <w:t>联系电话（微信号）：【                  】</w:t>
      </w:r>
    </w:p>
    <w:p w14:paraId="65C01219">
      <w:pPr>
        <w:spacing w:before="156" w:beforeLines="50" w:after="156"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                            】</w:t>
      </w:r>
    </w:p>
    <w:p w14:paraId="6F3046B0">
      <w:pPr>
        <w:pStyle w:val="2"/>
        <w:ind w:left="0" w:leftChars="0" w:firstLine="0" w:firstLineChars="0"/>
        <w:rPr>
          <w:rFonts w:hint="eastAsia"/>
          <w:lang w:val="en-US" w:eastAsia="zh-CN"/>
        </w:rPr>
      </w:pPr>
    </w:p>
    <w:p w14:paraId="64E49036">
      <w:pPr>
        <w:spacing w:before="156" w:beforeLines="50" w:after="156"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乙方地址：【                         】</w:t>
      </w:r>
    </w:p>
    <w:p w14:paraId="1DDAE90F">
      <w:pPr>
        <w:spacing w:before="156" w:beforeLines="50" w:after="156"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乙方联系人：【                       】</w:t>
      </w:r>
    </w:p>
    <w:p w14:paraId="63C3D36E">
      <w:pPr>
        <w:pStyle w:val="2"/>
        <w:ind w:left="0" w:leftChars="0" w:firstLine="480" w:firstLineChars="200"/>
        <w:rPr>
          <w:rFonts w:hint="eastAsia" w:ascii="宋体" w:hAnsi="宋体" w:eastAsia="宋体" w:cs="宋体"/>
          <w:sz w:val="24"/>
          <w:szCs w:val="24"/>
          <w:lang w:val="en-US" w:eastAsia="zh-CN"/>
        </w:rPr>
      </w:pPr>
      <w:r>
        <w:rPr>
          <w:rFonts w:hint="eastAsia" w:cs="宋体"/>
          <w:sz w:val="24"/>
          <w:szCs w:val="24"/>
          <w:lang w:val="en-US" w:eastAsia="zh-CN"/>
        </w:rPr>
        <w:t>联系电话（微信号）：【               】</w:t>
      </w:r>
    </w:p>
    <w:p w14:paraId="0680DC4C">
      <w:pPr>
        <w:spacing w:before="156" w:beforeLines="50" w:after="156"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                         】</w:t>
      </w:r>
    </w:p>
    <w:p w14:paraId="51CA7B91">
      <w:pPr>
        <w:spacing w:before="156" w:beforeLines="50" w:after="156"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送达形式包括但不限于邮件、传真、公认的快递等。如果以邮件、传真方式发送的，成功发送即视为送达；以快递的方式发出，自发出之日起第三日视为送达。若联系人或联系地址等信息变更，双方均需提前一周书面通知对方并得到对方确认。如任何一方联系方式或通讯地址有误或擅自变更而导致另一方通知或文件无法送达的，由此造成的损失由过错方承担。</w:t>
      </w:r>
    </w:p>
    <w:p w14:paraId="2F180CB6">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b/>
          <w:sz w:val="24"/>
          <w:szCs w:val="24"/>
          <w:lang w:eastAsia="zh-CN"/>
        </w:rPr>
      </w:pPr>
      <w:r>
        <w:rPr>
          <w:rFonts w:hint="eastAsia" w:ascii="宋体" w:hAnsi="宋体" w:eastAsia="宋体" w:cs="宋体"/>
          <w:b/>
          <w:sz w:val="24"/>
          <w:szCs w:val="24"/>
          <w:lang w:eastAsia="zh-CN"/>
        </w:rPr>
        <w:t>第十条</w:t>
      </w:r>
      <w:r>
        <w:rPr>
          <w:rFonts w:hint="eastAsia" w:ascii="宋体" w:hAnsi="宋体" w:eastAsia="宋体" w:cs="宋体"/>
          <w:b/>
          <w:sz w:val="24"/>
          <w:szCs w:val="24"/>
          <w:lang w:val="en-US" w:eastAsia="zh-CN"/>
        </w:rPr>
        <w:t xml:space="preserve">  </w:t>
      </w:r>
      <w:bookmarkEnd w:id="12"/>
      <w:r>
        <w:rPr>
          <w:rFonts w:hint="eastAsia" w:ascii="宋体" w:hAnsi="宋体" w:eastAsia="宋体" w:cs="宋体"/>
          <w:b/>
          <w:sz w:val="24"/>
          <w:szCs w:val="24"/>
          <w:lang w:eastAsia="zh-CN"/>
        </w:rPr>
        <w:t>其他</w:t>
      </w:r>
    </w:p>
    <w:p w14:paraId="0A8A1A3E">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本协议未尽事宜或履行中发生争议的，双方可随时协商修订，签订补充协议。补充协议是本协议的一部分，与本协议具有同等法律效力。</w:t>
      </w:r>
    </w:p>
    <w:p w14:paraId="124C9D80">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本协议的附件与协议同样具有法律效力，但可以在甲、乙双方共同书面确认的基础上根据实际情况单独变更附件的内容。</w:t>
      </w:r>
    </w:p>
    <w:p w14:paraId="5B063A8F">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本协议履行过程中如发生争议，双方应友好协商解决。如协商不成的，应向</w:t>
      </w:r>
      <w:r>
        <w:rPr>
          <w:rFonts w:hint="eastAsia" w:ascii="宋体" w:hAnsi="宋体" w:eastAsia="宋体" w:cs="宋体"/>
          <w:sz w:val="24"/>
          <w:szCs w:val="24"/>
          <w:lang w:eastAsia="zh-CN"/>
        </w:rPr>
        <w:t>合同签订</w:t>
      </w:r>
      <w:r>
        <w:rPr>
          <w:rFonts w:hint="eastAsia" w:ascii="宋体" w:hAnsi="宋体" w:eastAsia="宋体" w:cs="宋体"/>
          <w:sz w:val="24"/>
          <w:szCs w:val="24"/>
        </w:rPr>
        <w:t>地人民法院提起诉讼。</w:t>
      </w:r>
    </w:p>
    <w:p w14:paraId="753A6B63">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本协议一式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份，甲乙双方各执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份，</w:t>
      </w:r>
      <w:r>
        <w:rPr>
          <w:rFonts w:hint="eastAsia" w:ascii="宋体" w:hAnsi="宋体" w:eastAsia="宋体" w:cs="宋体"/>
          <w:sz w:val="24"/>
          <w:szCs w:val="24"/>
          <w:lang w:eastAsia="zh-CN"/>
        </w:rPr>
        <w:t>自</w:t>
      </w:r>
      <w:r>
        <w:rPr>
          <w:rFonts w:hint="eastAsia" w:ascii="宋体" w:hAnsi="宋体" w:eastAsia="宋体" w:cs="宋体"/>
          <w:sz w:val="24"/>
          <w:szCs w:val="24"/>
        </w:rPr>
        <w:t>双方签字盖章之日起生效。</w:t>
      </w:r>
    </w:p>
    <w:p w14:paraId="2B563A7A">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b/>
          <w:sz w:val="24"/>
          <w:szCs w:val="24"/>
        </w:rPr>
      </w:pPr>
      <w:bookmarkStart w:id="13" w:name="_Toc392595803"/>
      <w:r>
        <w:rPr>
          <w:rFonts w:hint="eastAsia" w:ascii="宋体" w:hAnsi="宋体" w:eastAsia="宋体" w:cs="宋体"/>
          <w:b/>
          <w:sz w:val="24"/>
          <w:szCs w:val="24"/>
          <w:lang w:eastAsia="zh-CN"/>
        </w:rPr>
        <w:t>第</w:t>
      </w:r>
      <w:r>
        <w:rPr>
          <w:rFonts w:hint="eastAsia" w:ascii="宋体" w:hAnsi="宋体" w:eastAsia="宋体" w:cs="宋体"/>
          <w:b/>
          <w:sz w:val="24"/>
          <w:szCs w:val="24"/>
        </w:rPr>
        <w:t>十一</w:t>
      </w:r>
      <w:r>
        <w:rPr>
          <w:rFonts w:hint="eastAsia" w:ascii="宋体" w:hAnsi="宋体" w:eastAsia="宋体" w:cs="宋体"/>
          <w:b/>
          <w:sz w:val="24"/>
          <w:szCs w:val="24"/>
          <w:lang w:eastAsia="zh-CN"/>
        </w:rPr>
        <w:t>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附件及附表列表：</w:t>
      </w:r>
      <w:bookmarkEnd w:id="13"/>
    </w:p>
    <w:p w14:paraId="5EAFACB2">
      <w:pPr>
        <w:keepNext w:val="0"/>
        <w:keepLines w:val="0"/>
        <w:pageBreakBefore w:val="0"/>
        <w:kinsoku/>
        <w:wordWrap/>
        <w:overflowPunct/>
        <w:topLinePunct w:val="0"/>
        <w:autoSpaceDE/>
        <w:autoSpaceDN/>
        <w:bidi w:val="0"/>
        <w:adjustRightInd/>
        <w:spacing w:line="5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附件一：仓储及操作服务费用价</w:t>
      </w:r>
      <w:r>
        <w:rPr>
          <w:rFonts w:hint="eastAsia" w:ascii="宋体" w:hAnsi="宋体" w:eastAsia="宋体" w:cs="宋体"/>
          <w:sz w:val="24"/>
          <w:szCs w:val="24"/>
          <w:lang w:eastAsia="zh-CN"/>
        </w:rPr>
        <w:t>目</w:t>
      </w:r>
      <w:r>
        <w:rPr>
          <w:rFonts w:hint="eastAsia" w:ascii="宋体" w:hAnsi="宋体" w:eastAsia="宋体" w:cs="宋体"/>
          <w:sz w:val="24"/>
          <w:szCs w:val="24"/>
        </w:rPr>
        <w:t>表</w:t>
      </w:r>
    </w:p>
    <w:p w14:paraId="0707DA2E">
      <w:pPr>
        <w:keepNext w:val="0"/>
        <w:keepLines w:val="0"/>
        <w:pageBreakBefore w:val="0"/>
        <w:kinsoku/>
        <w:wordWrap/>
        <w:overflowPunct/>
        <w:topLinePunct w:val="0"/>
        <w:autoSpaceDE/>
        <w:autoSpaceDN/>
        <w:bidi w:val="0"/>
        <w:adjustRightInd/>
        <w:spacing w:line="5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附件二：甲乙方各自银行开户行许可证和营业执照等复印件</w:t>
      </w:r>
    </w:p>
    <w:p w14:paraId="1D5F2B06">
      <w:pPr>
        <w:keepNext w:val="0"/>
        <w:keepLines w:val="0"/>
        <w:pageBreakBefore w:val="0"/>
        <w:kinsoku/>
        <w:wordWrap/>
        <w:overflowPunct/>
        <w:topLinePunct w:val="0"/>
        <w:autoSpaceDE/>
        <w:autoSpaceDN/>
        <w:bidi w:val="0"/>
        <w:adjustRightInd/>
        <w:spacing w:line="5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附件三：出入库标准</w:t>
      </w:r>
    </w:p>
    <w:p w14:paraId="3D5902F3">
      <w:pPr>
        <w:keepNext w:val="0"/>
        <w:keepLines w:val="0"/>
        <w:pageBreakBefore w:val="0"/>
        <w:kinsoku/>
        <w:wordWrap/>
        <w:overflowPunct/>
        <w:topLinePunct w:val="0"/>
        <w:autoSpaceDE/>
        <w:autoSpaceDN/>
        <w:bidi w:val="0"/>
        <w:adjustRightInd/>
        <w:spacing w:line="5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（以下无正文）</w:t>
      </w:r>
    </w:p>
    <w:p w14:paraId="1B67F029">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b/>
          <w:vanish/>
          <w:sz w:val="24"/>
          <w:szCs w:val="24"/>
        </w:rPr>
      </w:pPr>
    </w:p>
    <w:p w14:paraId="322C68DB">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r>
        <w:rPr>
          <w:rFonts w:hint="eastAsia" w:ascii="宋体" w:hAnsi="宋体" w:eastAsia="宋体" w:cs="宋体"/>
          <w:sz w:val="24"/>
          <w:szCs w:val="24"/>
        </w:rPr>
        <w:t>甲方（盖章）：                                   乙方（盖章）：</w:t>
      </w:r>
    </w:p>
    <w:p w14:paraId="1D878B6C">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r>
        <w:rPr>
          <w:rFonts w:hint="eastAsia" w:ascii="宋体" w:hAnsi="宋体" w:eastAsia="宋体" w:cs="宋体"/>
          <w:sz w:val="24"/>
          <w:szCs w:val="24"/>
          <w:lang w:eastAsia="zh-CN"/>
        </w:rPr>
        <w:t>授权</w:t>
      </w:r>
      <w:r>
        <w:rPr>
          <w:rFonts w:hint="eastAsia" w:ascii="宋体" w:hAnsi="宋体" w:eastAsia="宋体" w:cs="宋体"/>
          <w:sz w:val="24"/>
          <w:szCs w:val="24"/>
        </w:rPr>
        <w:t xml:space="preserve">代表：                                       </w:t>
      </w:r>
      <w:r>
        <w:rPr>
          <w:rFonts w:hint="eastAsia" w:ascii="宋体" w:hAnsi="宋体" w:eastAsia="宋体" w:cs="宋体"/>
          <w:sz w:val="24"/>
          <w:szCs w:val="24"/>
          <w:lang w:eastAsia="zh-CN"/>
        </w:rPr>
        <w:t>授权</w:t>
      </w:r>
      <w:r>
        <w:rPr>
          <w:rFonts w:hint="eastAsia" w:ascii="宋体" w:hAnsi="宋体" w:eastAsia="宋体" w:cs="宋体"/>
          <w:sz w:val="24"/>
          <w:szCs w:val="24"/>
        </w:rPr>
        <w:t>代表：</w:t>
      </w:r>
    </w:p>
    <w:p w14:paraId="7F1C90BF">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r>
        <w:rPr>
          <w:rFonts w:hint="eastAsia" w:ascii="宋体" w:hAnsi="宋体" w:eastAsia="宋体" w:cs="宋体"/>
          <w:sz w:val="24"/>
          <w:szCs w:val="24"/>
        </w:rPr>
        <w:t xml:space="preserve">签订日期：  年   月   日                         签订日期：  年  月  日 </w:t>
      </w:r>
    </w:p>
    <w:p w14:paraId="130F22C1">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r>
        <w:rPr>
          <w:rFonts w:hint="eastAsia" w:ascii="宋体" w:hAnsi="宋体" w:eastAsia="宋体" w:cs="宋体"/>
          <w:sz w:val="24"/>
          <w:szCs w:val="24"/>
        </w:rPr>
        <w:t>附件一：</w:t>
      </w:r>
    </w:p>
    <w:p w14:paraId="6B2205EB">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仓储及操作服务费用价目表</w:t>
      </w:r>
    </w:p>
    <w:tbl>
      <w:tblPr>
        <w:tblStyle w:val="11"/>
        <w:tblW w:w="9736"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281"/>
        <w:gridCol w:w="2309"/>
        <w:gridCol w:w="1041"/>
        <w:gridCol w:w="1116"/>
        <w:gridCol w:w="3326"/>
      </w:tblGrid>
      <w:tr w14:paraId="39A95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63" w:type="dxa"/>
            <w:shd w:val="clear" w:color="auto" w:fill="C5E0B3" w:themeFill="accent6" w:themeFillTint="66"/>
            <w:vAlign w:val="center"/>
          </w:tcPr>
          <w:p w14:paraId="0814FD59">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1281" w:type="dxa"/>
            <w:shd w:val="clear" w:color="auto" w:fill="C5E0B3" w:themeFill="accent6" w:themeFillTint="66"/>
            <w:vAlign w:val="center"/>
          </w:tcPr>
          <w:p w14:paraId="163BC22F">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b/>
                <w:kern w:val="0"/>
                <w:sz w:val="24"/>
                <w:szCs w:val="24"/>
              </w:rPr>
            </w:pPr>
            <w:r>
              <w:rPr>
                <w:rFonts w:hint="eastAsia" w:ascii="宋体" w:hAnsi="宋体" w:eastAsia="宋体" w:cs="宋体"/>
                <w:b/>
                <w:kern w:val="0"/>
                <w:sz w:val="24"/>
                <w:szCs w:val="24"/>
              </w:rPr>
              <w:t>费用类别</w:t>
            </w:r>
          </w:p>
        </w:tc>
        <w:tc>
          <w:tcPr>
            <w:tcW w:w="2309" w:type="dxa"/>
            <w:shd w:val="clear" w:color="auto" w:fill="C5E0B3" w:themeFill="accent6" w:themeFillTint="66"/>
            <w:vAlign w:val="center"/>
          </w:tcPr>
          <w:p w14:paraId="30EFB4FF">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b/>
                <w:kern w:val="0"/>
                <w:sz w:val="24"/>
                <w:szCs w:val="24"/>
              </w:rPr>
            </w:pPr>
            <w:r>
              <w:rPr>
                <w:rFonts w:hint="eastAsia" w:ascii="宋体" w:hAnsi="宋体" w:eastAsia="宋体" w:cs="宋体"/>
                <w:b/>
                <w:kern w:val="0"/>
                <w:sz w:val="24"/>
                <w:szCs w:val="24"/>
              </w:rPr>
              <w:t>服务属性/内容</w:t>
            </w:r>
          </w:p>
        </w:tc>
        <w:tc>
          <w:tcPr>
            <w:tcW w:w="1041" w:type="dxa"/>
            <w:shd w:val="clear" w:color="auto" w:fill="C5E0B3" w:themeFill="accent6" w:themeFillTint="66"/>
            <w:vAlign w:val="center"/>
          </w:tcPr>
          <w:p w14:paraId="3413E214">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b/>
                <w:kern w:val="0"/>
                <w:sz w:val="24"/>
                <w:szCs w:val="24"/>
              </w:rPr>
            </w:pPr>
            <w:r>
              <w:rPr>
                <w:rFonts w:hint="eastAsia" w:ascii="宋体" w:hAnsi="宋体" w:eastAsia="宋体" w:cs="宋体"/>
                <w:b/>
                <w:kern w:val="0"/>
                <w:sz w:val="24"/>
                <w:szCs w:val="24"/>
              </w:rPr>
              <w:t>计费单位</w:t>
            </w:r>
          </w:p>
        </w:tc>
        <w:tc>
          <w:tcPr>
            <w:tcW w:w="1116" w:type="dxa"/>
            <w:shd w:val="clear" w:color="auto" w:fill="C5E0B3" w:themeFill="accent6" w:themeFillTint="66"/>
            <w:vAlign w:val="center"/>
          </w:tcPr>
          <w:p w14:paraId="112C933F">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b/>
                <w:kern w:val="0"/>
                <w:sz w:val="24"/>
                <w:szCs w:val="24"/>
              </w:rPr>
            </w:pPr>
            <w:r>
              <w:rPr>
                <w:rFonts w:hint="eastAsia" w:ascii="宋体" w:hAnsi="宋体" w:eastAsia="宋体" w:cs="宋体"/>
                <w:b/>
                <w:kern w:val="0"/>
                <w:sz w:val="24"/>
                <w:szCs w:val="24"/>
              </w:rPr>
              <w:t>单价</w:t>
            </w:r>
          </w:p>
        </w:tc>
        <w:tc>
          <w:tcPr>
            <w:tcW w:w="3326" w:type="dxa"/>
            <w:shd w:val="clear" w:color="auto" w:fill="C5E0B3" w:themeFill="accent6" w:themeFillTint="66"/>
            <w:vAlign w:val="center"/>
          </w:tcPr>
          <w:p w14:paraId="2F99C3E0">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b/>
                <w:kern w:val="0"/>
                <w:sz w:val="24"/>
                <w:szCs w:val="24"/>
              </w:rPr>
            </w:pPr>
            <w:r>
              <w:rPr>
                <w:rFonts w:hint="eastAsia" w:ascii="宋体" w:hAnsi="宋体" w:eastAsia="宋体" w:cs="宋体"/>
                <w:b/>
                <w:kern w:val="0"/>
                <w:sz w:val="24"/>
                <w:szCs w:val="24"/>
              </w:rPr>
              <w:t>备注</w:t>
            </w:r>
          </w:p>
        </w:tc>
      </w:tr>
      <w:tr w14:paraId="49CD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63" w:type="dxa"/>
            <w:vAlign w:val="center"/>
          </w:tcPr>
          <w:p w14:paraId="47709ECA">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281" w:type="dxa"/>
            <w:vAlign w:val="center"/>
          </w:tcPr>
          <w:p w14:paraId="5AE91B97">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仓储租赁费</w:t>
            </w:r>
          </w:p>
        </w:tc>
        <w:tc>
          <w:tcPr>
            <w:tcW w:w="2309" w:type="dxa"/>
            <w:vAlign w:val="center"/>
          </w:tcPr>
          <w:p w14:paraId="7C4B5639">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冷冻库-18~-20℃±2℃（除霜时间段除外）</w:t>
            </w:r>
          </w:p>
        </w:tc>
        <w:tc>
          <w:tcPr>
            <w:tcW w:w="1041" w:type="dxa"/>
            <w:vAlign w:val="center"/>
          </w:tcPr>
          <w:p w14:paraId="73D3235A">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元/托盘/天</w:t>
            </w:r>
          </w:p>
        </w:tc>
        <w:tc>
          <w:tcPr>
            <w:tcW w:w="1116" w:type="dxa"/>
            <w:vAlign w:val="center"/>
          </w:tcPr>
          <w:p w14:paraId="1271D4DB">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p>
        </w:tc>
        <w:tc>
          <w:tcPr>
            <w:tcW w:w="3326" w:type="dxa"/>
            <w:vAlign w:val="center"/>
          </w:tcPr>
          <w:p w14:paraId="472BD99F">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1、满足品项批次库龄管理；2、当日出货次日扣除库存托盘数计费；3、单品单批次堆码，不足一托盘按一托盘核算。4、单托盘货品≤800kg，堆码1m*1.2m*1.5m。5、本报价不含托盘实际采购成本，仅可提供库内托盘周转使用。</w:t>
            </w:r>
          </w:p>
        </w:tc>
      </w:tr>
      <w:tr w14:paraId="16E87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1" w:hRule="atLeast"/>
        </w:trPr>
        <w:tc>
          <w:tcPr>
            <w:tcW w:w="663" w:type="dxa"/>
            <w:vAlign w:val="center"/>
          </w:tcPr>
          <w:p w14:paraId="7D0F7A47">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281" w:type="dxa"/>
            <w:vAlign w:val="center"/>
          </w:tcPr>
          <w:p w14:paraId="5D3697E5">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进仓费</w:t>
            </w:r>
          </w:p>
        </w:tc>
        <w:tc>
          <w:tcPr>
            <w:tcW w:w="2309" w:type="dxa"/>
            <w:vAlign w:val="center"/>
          </w:tcPr>
          <w:p w14:paraId="544A384D">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整托盘入库、叉车上架、暂存、清点、食品效期核对、外箱查验；</w:t>
            </w:r>
          </w:p>
        </w:tc>
        <w:tc>
          <w:tcPr>
            <w:tcW w:w="1041" w:type="dxa"/>
            <w:vAlign w:val="center"/>
          </w:tcPr>
          <w:p w14:paraId="43FB5D4D">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元/托盘/次</w:t>
            </w:r>
          </w:p>
        </w:tc>
        <w:tc>
          <w:tcPr>
            <w:tcW w:w="1116" w:type="dxa"/>
            <w:vAlign w:val="center"/>
          </w:tcPr>
          <w:p w14:paraId="3BC16A10">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p>
        </w:tc>
        <w:tc>
          <w:tcPr>
            <w:tcW w:w="3326" w:type="dxa"/>
            <w:vMerge w:val="restart"/>
            <w:vAlign w:val="center"/>
          </w:tcPr>
          <w:p w14:paraId="27FC0F5A">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不满整托按整托盘计取；单次进(出)仓处置费用=进货托盘数*单价；工作日内8:30之前或17:00之后到货收取方式：如超出上述时间则单价乘以120%计费；公共节假日需提前2天预报进行配合确认，未按要求时间内的，需求方将自行承担所产生的其他费用。</w:t>
            </w:r>
          </w:p>
        </w:tc>
      </w:tr>
      <w:tr w14:paraId="2293B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663" w:type="dxa"/>
            <w:vAlign w:val="center"/>
          </w:tcPr>
          <w:p w14:paraId="56F77C20">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281" w:type="dxa"/>
            <w:vAlign w:val="center"/>
          </w:tcPr>
          <w:p w14:paraId="29A55F95">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出仓费</w:t>
            </w:r>
          </w:p>
        </w:tc>
        <w:tc>
          <w:tcPr>
            <w:tcW w:w="2309" w:type="dxa"/>
            <w:vAlign w:val="center"/>
          </w:tcPr>
          <w:p w14:paraId="2CFA1709">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整托盘出库、叉车下架、暂存、清点、食品效期核对、外箱查验；</w:t>
            </w:r>
          </w:p>
        </w:tc>
        <w:tc>
          <w:tcPr>
            <w:tcW w:w="1041" w:type="dxa"/>
            <w:vAlign w:val="center"/>
          </w:tcPr>
          <w:p w14:paraId="4EF13AB0">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元/托盘/次</w:t>
            </w:r>
          </w:p>
        </w:tc>
        <w:tc>
          <w:tcPr>
            <w:tcW w:w="1116" w:type="dxa"/>
            <w:vAlign w:val="center"/>
          </w:tcPr>
          <w:p w14:paraId="6379ADD7">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p>
        </w:tc>
        <w:tc>
          <w:tcPr>
            <w:tcW w:w="3326" w:type="dxa"/>
            <w:vMerge w:val="continue"/>
            <w:vAlign w:val="center"/>
          </w:tcPr>
          <w:p w14:paraId="31990F64">
            <w:pPr>
              <w:keepNext w:val="0"/>
              <w:keepLines w:val="0"/>
              <w:pageBreakBefore w:val="0"/>
              <w:kinsoku/>
              <w:wordWrap/>
              <w:overflowPunct/>
              <w:topLinePunct w:val="0"/>
              <w:autoSpaceDE/>
              <w:autoSpaceDN/>
              <w:bidi w:val="0"/>
              <w:adjustRightInd/>
              <w:spacing w:line="520" w:lineRule="exact"/>
              <w:ind w:firstLine="360"/>
              <w:rPr>
                <w:rFonts w:hint="eastAsia" w:ascii="宋体" w:hAnsi="宋体" w:eastAsia="宋体" w:cs="宋体"/>
                <w:kern w:val="0"/>
                <w:sz w:val="24"/>
                <w:szCs w:val="24"/>
              </w:rPr>
            </w:pPr>
          </w:p>
        </w:tc>
      </w:tr>
      <w:tr w14:paraId="6622C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663" w:type="dxa"/>
            <w:vAlign w:val="center"/>
          </w:tcPr>
          <w:p w14:paraId="37A13C56">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281" w:type="dxa"/>
            <w:vAlign w:val="center"/>
          </w:tcPr>
          <w:p w14:paraId="613C1891">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散出分拣费</w:t>
            </w:r>
          </w:p>
        </w:tc>
        <w:tc>
          <w:tcPr>
            <w:tcW w:w="2309" w:type="dxa"/>
            <w:vAlign w:val="center"/>
          </w:tcPr>
          <w:p w14:paraId="4DBF7860">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对零散整箱出库的需求进行的服务；</w:t>
            </w:r>
          </w:p>
        </w:tc>
        <w:tc>
          <w:tcPr>
            <w:tcW w:w="1041" w:type="dxa"/>
            <w:vAlign w:val="center"/>
          </w:tcPr>
          <w:p w14:paraId="63F48D3A">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元/箱</w:t>
            </w:r>
          </w:p>
        </w:tc>
        <w:tc>
          <w:tcPr>
            <w:tcW w:w="1116" w:type="dxa"/>
            <w:vAlign w:val="center"/>
          </w:tcPr>
          <w:p w14:paraId="17B8BCC2">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p>
        </w:tc>
        <w:tc>
          <w:tcPr>
            <w:tcW w:w="3326" w:type="dxa"/>
            <w:vAlign w:val="center"/>
          </w:tcPr>
          <w:p w14:paraId="5223FD7D">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按实际发生收取；</w:t>
            </w:r>
          </w:p>
        </w:tc>
      </w:tr>
      <w:tr w14:paraId="0E2A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63" w:type="dxa"/>
            <w:vAlign w:val="center"/>
          </w:tcPr>
          <w:p w14:paraId="49310F4F">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281" w:type="dxa"/>
            <w:vAlign w:val="center"/>
          </w:tcPr>
          <w:p w14:paraId="3A2FFE5B">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拆板/拼板费</w:t>
            </w:r>
          </w:p>
        </w:tc>
        <w:tc>
          <w:tcPr>
            <w:tcW w:w="2309" w:type="dxa"/>
            <w:vAlign w:val="center"/>
          </w:tcPr>
          <w:p w14:paraId="4022AC65">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不同品种为方便整托盘出库运输，进行库内人力拆板或拼板服务；</w:t>
            </w:r>
          </w:p>
        </w:tc>
        <w:tc>
          <w:tcPr>
            <w:tcW w:w="1041" w:type="dxa"/>
            <w:vAlign w:val="center"/>
          </w:tcPr>
          <w:p w14:paraId="52CF6BFF">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元/托盘/次</w:t>
            </w:r>
          </w:p>
        </w:tc>
        <w:tc>
          <w:tcPr>
            <w:tcW w:w="1116" w:type="dxa"/>
            <w:vAlign w:val="center"/>
          </w:tcPr>
          <w:p w14:paraId="289A5F8F">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p>
        </w:tc>
        <w:tc>
          <w:tcPr>
            <w:tcW w:w="3326" w:type="dxa"/>
            <w:vAlign w:val="center"/>
          </w:tcPr>
          <w:p w14:paraId="7065DE8B">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按实际发生收取；</w:t>
            </w:r>
          </w:p>
        </w:tc>
      </w:tr>
      <w:tr w14:paraId="0D6CF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14:paraId="44FDA8D5">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281" w:type="dxa"/>
            <w:vAlign w:val="center"/>
          </w:tcPr>
          <w:p w14:paraId="5EB444E0">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订单处理费</w:t>
            </w:r>
          </w:p>
        </w:tc>
        <w:tc>
          <w:tcPr>
            <w:tcW w:w="2309" w:type="dxa"/>
            <w:vAlign w:val="center"/>
          </w:tcPr>
          <w:p w14:paraId="1D64757F">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 xml:space="preserve">系统进或出的数据录入、制单、单据打印； </w:t>
            </w:r>
          </w:p>
        </w:tc>
        <w:tc>
          <w:tcPr>
            <w:tcW w:w="1041" w:type="dxa"/>
            <w:vAlign w:val="center"/>
          </w:tcPr>
          <w:p w14:paraId="20AC676A">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元/订单</w:t>
            </w:r>
          </w:p>
        </w:tc>
        <w:tc>
          <w:tcPr>
            <w:tcW w:w="1116" w:type="dxa"/>
            <w:vAlign w:val="center"/>
          </w:tcPr>
          <w:p w14:paraId="54D99440">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p>
        </w:tc>
        <w:tc>
          <w:tcPr>
            <w:tcW w:w="3326" w:type="dxa"/>
            <w:vAlign w:val="center"/>
          </w:tcPr>
          <w:p w14:paraId="65939A38">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指厂商到货、调拨、门店出库各项单票订单；每次不超出三页单据限定范围，如有超出按每份1.0元收取单据费。</w:t>
            </w:r>
          </w:p>
        </w:tc>
      </w:tr>
      <w:tr w14:paraId="05B7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63" w:type="dxa"/>
            <w:vAlign w:val="center"/>
          </w:tcPr>
          <w:p w14:paraId="644EC197">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1281" w:type="dxa"/>
            <w:vAlign w:val="center"/>
          </w:tcPr>
          <w:p w14:paraId="4D87513A">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货品整托打包费</w:t>
            </w:r>
          </w:p>
        </w:tc>
        <w:tc>
          <w:tcPr>
            <w:tcW w:w="2309" w:type="dxa"/>
            <w:vAlign w:val="center"/>
          </w:tcPr>
          <w:p w14:paraId="561C2BF2">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含依照客户需求，按同品项或不同品项或批次进行托盘打包，并进行缠绕膜与包角整托盘打包服务；</w:t>
            </w:r>
          </w:p>
        </w:tc>
        <w:tc>
          <w:tcPr>
            <w:tcW w:w="1041" w:type="dxa"/>
            <w:vAlign w:val="center"/>
          </w:tcPr>
          <w:p w14:paraId="674B2151">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元/托盘/次</w:t>
            </w:r>
          </w:p>
        </w:tc>
        <w:tc>
          <w:tcPr>
            <w:tcW w:w="1116" w:type="dxa"/>
            <w:vAlign w:val="center"/>
          </w:tcPr>
          <w:p w14:paraId="644D3311">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p>
        </w:tc>
        <w:tc>
          <w:tcPr>
            <w:tcW w:w="3326" w:type="dxa"/>
            <w:vAlign w:val="center"/>
          </w:tcPr>
          <w:p w14:paraId="7A4D6750">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依实际发生收取，本报价仅为操作，相关缠绕膜及包角材料费用由客户自行提供；</w:t>
            </w:r>
          </w:p>
        </w:tc>
      </w:tr>
    </w:tbl>
    <w:p w14:paraId="4E0D3444">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lang w:eastAsia="zh-CN"/>
        </w:rPr>
      </w:pPr>
      <w:r>
        <w:rPr>
          <w:rFonts w:hint="eastAsia" w:ascii="宋体" w:hAnsi="宋体" w:eastAsia="宋体" w:cs="宋体"/>
          <w:sz w:val="24"/>
          <w:szCs w:val="24"/>
        </w:rPr>
        <w:t>备注：本仓储报价含6%专用增值税</w:t>
      </w:r>
      <w:r>
        <w:rPr>
          <w:rFonts w:hint="eastAsia" w:ascii="宋体" w:hAnsi="宋体" w:eastAsia="宋体" w:cs="宋体"/>
          <w:sz w:val="24"/>
          <w:szCs w:val="24"/>
          <w:lang w:eastAsia="zh-CN"/>
        </w:rPr>
        <w:t>。</w:t>
      </w:r>
    </w:p>
    <w:p w14:paraId="43980A40">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p>
    <w:p w14:paraId="1EE43C28">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r>
        <w:rPr>
          <w:rFonts w:hint="eastAsia" w:ascii="宋体" w:hAnsi="宋体" w:eastAsia="宋体" w:cs="宋体"/>
          <w:sz w:val="24"/>
          <w:szCs w:val="24"/>
        </w:rPr>
        <w:t>附件二：甲乙方证件</w:t>
      </w:r>
    </w:p>
    <w:p w14:paraId="40C004CA">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b/>
          <w:bCs/>
          <w:sz w:val="24"/>
          <w:szCs w:val="24"/>
        </w:rPr>
      </w:pPr>
      <w:r>
        <w:rPr>
          <w:rFonts w:hint="eastAsia" w:ascii="宋体" w:hAnsi="宋体" w:eastAsia="宋体" w:cs="宋体"/>
          <w:b/>
          <w:bCs/>
          <w:color w:val="FF0000"/>
          <w:sz w:val="24"/>
          <w:szCs w:val="24"/>
          <w:lang w:val="en-US" w:eastAsia="zh-CN"/>
        </w:rPr>
        <w:t xml:space="preserve">   </w:t>
      </w:r>
      <w:r>
        <w:rPr>
          <w:rFonts w:hint="eastAsia" w:ascii="宋体" w:hAnsi="宋体" w:eastAsia="宋体" w:cs="宋体"/>
          <w:b/>
          <w:bCs/>
          <w:color w:val="FF0000"/>
          <w:sz w:val="24"/>
          <w:szCs w:val="24"/>
        </w:rPr>
        <w:t>甲方营业执照资质</w:t>
      </w:r>
    </w:p>
    <w:p w14:paraId="29587027">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p>
    <w:p w14:paraId="5E4D7ECE">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p>
    <w:p w14:paraId="64DDD19C">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p>
    <w:p w14:paraId="4E9C864D">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p>
    <w:p w14:paraId="5794B70D">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p>
    <w:p w14:paraId="1EE3FDA7">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p>
    <w:p w14:paraId="77BF2EFB">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p>
    <w:p w14:paraId="45FB41E7">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r>
        <w:rPr>
          <w:rFonts w:hint="eastAsia" w:ascii="宋体" w:hAnsi="宋体" w:eastAsia="宋体" w:cs="宋体"/>
          <w:sz w:val="24"/>
          <w:szCs w:val="24"/>
        </w:rPr>
        <w:t>附件三：出入库标准</w:t>
      </w:r>
    </w:p>
    <w:tbl>
      <w:tblPr>
        <w:tblStyle w:val="10"/>
        <w:tblW w:w="10300" w:type="dxa"/>
        <w:tblInd w:w="0" w:type="dxa"/>
        <w:tblLayout w:type="autofit"/>
        <w:tblCellMar>
          <w:top w:w="0" w:type="dxa"/>
          <w:left w:w="0" w:type="dxa"/>
          <w:bottom w:w="0" w:type="dxa"/>
          <w:right w:w="0" w:type="dxa"/>
        </w:tblCellMar>
      </w:tblPr>
      <w:tblGrid>
        <w:gridCol w:w="660"/>
        <w:gridCol w:w="1920"/>
        <w:gridCol w:w="2660"/>
        <w:gridCol w:w="3720"/>
        <w:gridCol w:w="1460"/>
      </w:tblGrid>
      <w:tr w14:paraId="1767DE55">
        <w:tblPrEx>
          <w:tblCellMar>
            <w:top w:w="0" w:type="dxa"/>
            <w:left w:w="0" w:type="dxa"/>
            <w:bottom w:w="0" w:type="dxa"/>
            <w:right w:w="0" w:type="dxa"/>
          </w:tblCellMar>
        </w:tblPrEx>
        <w:trPr>
          <w:trHeight w:val="4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9D08E"/>
            <w:noWrap/>
            <w:tcMar>
              <w:top w:w="10" w:type="dxa"/>
              <w:left w:w="10" w:type="dxa"/>
              <w:right w:w="10" w:type="dxa"/>
            </w:tcMar>
            <w:vAlign w:val="center"/>
          </w:tcPr>
          <w:p w14:paraId="57B18546">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b/>
                <w:sz w:val="24"/>
                <w:szCs w:val="24"/>
              </w:rPr>
            </w:pPr>
            <w:r>
              <w:rPr>
                <w:rFonts w:hint="eastAsia" w:ascii="宋体" w:hAnsi="宋体" w:eastAsia="宋体" w:cs="宋体"/>
                <w:b/>
                <w:kern w:val="0"/>
                <w:sz w:val="24"/>
                <w:szCs w:val="24"/>
                <w:lang w:bidi="ar"/>
              </w:rPr>
              <w:t>序号</w:t>
            </w:r>
          </w:p>
        </w:tc>
        <w:tc>
          <w:tcPr>
            <w:tcW w:w="1920" w:type="dxa"/>
            <w:tcBorders>
              <w:top w:val="single" w:color="000000" w:sz="4" w:space="0"/>
              <w:left w:val="single" w:color="000000" w:sz="4" w:space="0"/>
              <w:bottom w:val="single" w:color="000000" w:sz="4" w:space="0"/>
              <w:right w:val="single" w:color="000000" w:sz="4" w:space="0"/>
            </w:tcBorders>
            <w:shd w:val="clear" w:color="auto" w:fill="A9D08E"/>
            <w:noWrap/>
            <w:tcMar>
              <w:top w:w="10" w:type="dxa"/>
              <w:left w:w="10" w:type="dxa"/>
              <w:right w:w="10" w:type="dxa"/>
            </w:tcMar>
            <w:vAlign w:val="center"/>
          </w:tcPr>
          <w:p w14:paraId="37C76EA5">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b/>
                <w:sz w:val="24"/>
                <w:szCs w:val="24"/>
              </w:rPr>
            </w:pPr>
            <w:r>
              <w:rPr>
                <w:rFonts w:hint="eastAsia" w:ascii="宋体" w:hAnsi="宋体" w:eastAsia="宋体" w:cs="宋体"/>
                <w:b/>
                <w:kern w:val="0"/>
                <w:sz w:val="24"/>
                <w:szCs w:val="24"/>
                <w:lang w:bidi="ar"/>
              </w:rPr>
              <w:t>科目</w:t>
            </w:r>
          </w:p>
        </w:tc>
        <w:tc>
          <w:tcPr>
            <w:tcW w:w="2570" w:type="dxa"/>
            <w:tcBorders>
              <w:top w:val="single" w:color="000000" w:sz="4" w:space="0"/>
              <w:left w:val="single" w:color="000000" w:sz="4" w:space="0"/>
              <w:bottom w:val="single" w:color="000000" w:sz="4" w:space="0"/>
              <w:right w:val="single" w:color="000000" w:sz="4" w:space="0"/>
            </w:tcBorders>
            <w:shd w:val="clear" w:color="auto" w:fill="A9D08E"/>
            <w:noWrap/>
            <w:tcMar>
              <w:top w:w="10" w:type="dxa"/>
              <w:left w:w="10" w:type="dxa"/>
              <w:right w:w="10" w:type="dxa"/>
            </w:tcMar>
            <w:vAlign w:val="center"/>
          </w:tcPr>
          <w:p w14:paraId="14BE6DF4">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b/>
                <w:sz w:val="24"/>
                <w:szCs w:val="24"/>
              </w:rPr>
            </w:pPr>
            <w:r>
              <w:rPr>
                <w:rFonts w:hint="eastAsia" w:ascii="宋体" w:hAnsi="宋体" w:eastAsia="宋体" w:cs="宋体"/>
                <w:b/>
                <w:kern w:val="0"/>
                <w:sz w:val="24"/>
                <w:szCs w:val="24"/>
                <w:lang w:bidi="ar"/>
              </w:rPr>
              <w:t>类别</w:t>
            </w:r>
          </w:p>
        </w:tc>
        <w:tc>
          <w:tcPr>
            <w:tcW w:w="3720" w:type="dxa"/>
            <w:tcBorders>
              <w:top w:val="single" w:color="000000" w:sz="4" w:space="0"/>
              <w:left w:val="single" w:color="000000" w:sz="4" w:space="0"/>
              <w:bottom w:val="single" w:color="000000" w:sz="4" w:space="0"/>
              <w:right w:val="single" w:color="000000" w:sz="4" w:space="0"/>
            </w:tcBorders>
            <w:shd w:val="clear" w:color="auto" w:fill="A9D08E"/>
            <w:noWrap/>
            <w:tcMar>
              <w:top w:w="10" w:type="dxa"/>
              <w:left w:w="10" w:type="dxa"/>
              <w:right w:w="10" w:type="dxa"/>
            </w:tcMar>
            <w:vAlign w:val="center"/>
          </w:tcPr>
          <w:p w14:paraId="265F05E4">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b/>
                <w:sz w:val="24"/>
                <w:szCs w:val="24"/>
              </w:rPr>
            </w:pPr>
            <w:r>
              <w:rPr>
                <w:rFonts w:hint="eastAsia" w:ascii="宋体" w:hAnsi="宋体" w:eastAsia="宋体" w:cs="宋体"/>
                <w:b/>
                <w:kern w:val="0"/>
                <w:sz w:val="24"/>
                <w:szCs w:val="24"/>
                <w:lang w:bidi="ar"/>
              </w:rPr>
              <w:t>标准</w:t>
            </w:r>
          </w:p>
        </w:tc>
        <w:tc>
          <w:tcPr>
            <w:tcW w:w="1430" w:type="dxa"/>
            <w:tcBorders>
              <w:top w:val="single" w:color="000000" w:sz="4" w:space="0"/>
              <w:left w:val="single" w:color="000000" w:sz="4" w:space="0"/>
              <w:bottom w:val="single" w:color="000000" w:sz="4" w:space="0"/>
              <w:right w:val="single" w:color="000000" w:sz="4" w:space="0"/>
            </w:tcBorders>
            <w:shd w:val="clear" w:color="auto" w:fill="A9D08E"/>
            <w:noWrap/>
            <w:tcMar>
              <w:top w:w="10" w:type="dxa"/>
              <w:left w:w="10" w:type="dxa"/>
              <w:right w:w="10" w:type="dxa"/>
            </w:tcMar>
            <w:vAlign w:val="center"/>
          </w:tcPr>
          <w:p w14:paraId="6341ABEE">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b/>
                <w:sz w:val="24"/>
                <w:szCs w:val="24"/>
              </w:rPr>
            </w:pPr>
            <w:r>
              <w:rPr>
                <w:rFonts w:hint="eastAsia" w:ascii="宋体" w:hAnsi="宋体" w:eastAsia="宋体" w:cs="宋体"/>
                <w:b/>
                <w:kern w:val="0"/>
                <w:sz w:val="24"/>
                <w:szCs w:val="24"/>
                <w:lang w:bidi="ar"/>
              </w:rPr>
              <w:t>备注</w:t>
            </w:r>
          </w:p>
        </w:tc>
      </w:tr>
      <w:tr w14:paraId="422B2184">
        <w:tblPrEx>
          <w:tblCellMar>
            <w:top w:w="0" w:type="dxa"/>
            <w:left w:w="0" w:type="dxa"/>
            <w:bottom w:w="0" w:type="dxa"/>
            <w:right w:w="0"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F8D521A">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708A840">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外包装状态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CC39D81">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全品类</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633EAC">
            <w:pPr>
              <w:keepNext w:val="0"/>
              <w:keepLines w:val="0"/>
              <w:pageBreakBefore w:val="0"/>
              <w:kinsoku/>
              <w:wordWrap/>
              <w:overflowPunct/>
              <w:topLinePunct w:val="0"/>
              <w:autoSpaceDE/>
              <w:autoSpaceDN/>
              <w:bidi w:val="0"/>
              <w:adjustRightInd/>
              <w:spacing w:line="520" w:lineRule="exac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入库（含逆向）外箱破烂和严重变形等影响销售不收，执行异常处理流程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935EADA">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53AE78C2">
        <w:tblPrEx>
          <w:tblCellMar>
            <w:top w:w="0" w:type="dxa"/>
            <w:left w:w="0" w:type="dxa"/>
            <w:bottom w:w="0" w:type="dxa"/>
            <w:right w:w="0" w:type="dxa"/>
          </w:tblCellMar>
        </w:tblPrEx>
        <w:trPr>
          <w:trHeight w:val="3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DC563CA">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CEA5D1">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入库（含逆向）                                                                                 货品温度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A897673">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冷冻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9E674B9">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Style w:val="18"/>
                <w:rFonts w:hint="eastAsia" w:ascii="宋体" w:hAnsi="宋体" w:eastAsia="宋体" w:cs="宋体"/>
                <w:color w:val="auto"/>
                <w:sz w:val="24"/>
                <w:szCs w:val="24"/>
                <w:lang w:bidi="ar"/>
              </w:rPr>
              <w:t>≦﹣</w:t>
            </w:r>
            <w:r>
              <w:rPr>
                <w:rStyle w:val="19"/>
                <w:rFonts w:hint="eastAsia" w:ascii="宋体" w:hAnsi="宋体" w:eastAsia="宋体" w:cs="宋体"/>
                <w:color w:val="auto"/>
                <w:sz w:val="24"/>
                <w:szCs w:val="24"/>
                <w:lang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C817B2D">
            <w:pPr>
              <w:keepNext w:val="0"/>
              <w:keepLines w:val="0"/>
              <w:pageBreakBefore w:val="0"/>
              <w:kinsoku/>
              <w:wordWrap/>
              <w:overflowPunct/>
              <w:topLinePunct w:val="0"/>
              <w:autoSpaceDE/>
              <w:autoSpaceDN/>
              <w:bidi w:val="0"/>
              <w:adjustRightInd/>
              <w:spacing w:line="520" w:lineRule="exac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插入式测温仪</w:t>
            </w:r>
          </w:p>
        </w:tc>
      </w:tr>
      <w:tr w14:paraId="75B67711">
        <w:tblPrEx>
          <w:tblCellMar>
            <w:top w:w="0" w:type="dxa"/>
            <w:left w:w="0" w:type="dxa"/>
            <w:bottom w:w="0" w:type="dxa"/>
            <w:right w:w="0"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BA6931F">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6C0D85">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90BD75A">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冷藏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D602E28">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4A860B0">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sz w:val="24"/>
                <w:szCs w:val="24"/>
              </w:rPr>
            </w:pPr>
          </w:p>
        </w:tc>
      </w:tr>
      <w:tr w14:paraId="1A8A2215">
        <w:tblPrEx>
          <w:tblCellMar>
            <w:top w:w="0" w:type="dxa"/>
            <w:left w:w="0" w:type="dxa"/>
            <w:bottom w:w="0" w:type="dxa"/>
            <w:right w:w="0" w:type="dxa"/>
          </w:tblCellMar>
        </w:tblPrEx>
        <w:trPr>
          <w:trHeight w:val="4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5516654">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99CBFCB">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在库温度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221D345">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冷冻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DF4129C">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Style w:val="19"/>
                <w:rFonts w:hint="eastAsia" w:ascii="宋体" w:hAnsi="宋体" w:eastAsia="宋体" w:cs="宋体"/>
                <w:color w:val="auto"/>
                <w:sz w:val="24"/>
                <w:szCs w:val="24"/>
                <w:lang w:bidi="ar"/>
              </w:rPr>
              <w:softHyphen/>
            </w:r>
            <w:r>
              <w:rPr>
                <w:rStyle w:val="19"/>
                <w:rFonts w:hint="eastAsia" w:ascii="宋体" w:hAnsi="宋体" w:eastAsia="宋体" w:cs="宋体"/>
                <w:color w:val="auto"/>
                <w:sz w:val="24"/>
                <w:szCs w:val="24"/>
                <w:lang w:bidi="ar"/>
              </w:rPr>
              <w:t>18℃±3℃（除霜时间除外）</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22E48C">
            <w:pPr>
              <w:keepNext w:val="0"/>
              <w:keepLines w:val="0"/>
              <w:pageBreakBefore w:val="0"/>
              <w:kinsoku/>
              <w:wordWrap/>
              <w:overflowPunct/>
              <w:topLinePunct w:val="0"/>
              <w:autoSpaceDE/>
              <w:autoSpaceDN/>
              <w:bidi w:val="0"/>
              <w:adjustRightInd/>
              <w:spacing w:line="520" w:lineRule="exac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制冷设备自带温度显示仪或电子温度仪</w:t>
            </w:r>
          </w:p>
        </w:tc>
      </w:tr>
      <w:tr w14:paraId="6DC917C9">
        <w:tblPrEx>
          <w:tblCellMar>
            <w:top w:w="0" w:type="dxa"/>
            <w:left w:w="0" w:type="dxa"/>
            <w:bottom w:w="0" w:type="dxa"/>
            <w:right w:w="0"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FB5E913">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99F9969">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80C6270">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冷藏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0C2DD55">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1-10℃（除霜时间除外）</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8E23A3">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sz w:val="24"/>
                <w:szCs w:val="24"/>
              </w:rPr>
            </w:pPr>
          </w:p>
        </w:tc>
      </w:tr>
      <w:tr w14:paraId="7348F612">
        <w:tblPrEx>
          <w:tblCellMar>
            <w:top w:w="0" w:type="dxa"/>
            <w:left w:w="0" w:type="dxa"/>
            <w:bottom w:w="0" w:type="dxa"/>
            <w:right w:w="0"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269CE05">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DF27C60">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车厢预冷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9D452B4">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冷冻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EFBADA9">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FB80A71">
            <w:pPr>
              <w:keepNext w:val="0"/>
              <w:keepLines w:val="0"/>
              <w:pageBreakBefore w:val="0"/>
              <w:kinsoku/>
              <w:wordWrap/>
              <w:overflowPunct/>
              <w:topLinePunct w:val="0"/>
              <w:autoSpaceDE/>
              <w:autoSpaceDN/>
              <w:bidi w:val="0"/>
              <w:adjustRightInd/>
              <w:spacing w:line="520" w:lineRule="exac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红外线测温枪</w:t>
            </w:r>
          </w:p>
        </w:tc>
      </w:tr>
      <w:tr w14:paraId="57E1A6D5">
        <w:tblPrEx>
          <w:tblCellMar>
            <w:top w:w="0" w:type="dxa"/>
            <w:left w:w="0" w:type="dxa"/>
            <w:bottom w:w="0" w:type="dxa"/>
            <w:right w:w="0"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06A6CA3">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3326C59">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8449256">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冷藏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333E730">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404284D">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sz w:val="24"/>
                <w:szCs w:val="24"/>
              </w:rPr>
            </w:pPr>
          </w:p>
        </w:tc>
      </w:tr>
      <w:tr w14:paraId="35780645">
        <w:tblPrEx>
          <w:tblCellMar>
            <w:top w:w="0" w:type="dxa"/>
            <w:left w:w="0" w:type="dxa"/>
            <w:bottom w:w="0" w:type="dxa"/>
            <w:right w:w="0"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19AED65">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8A7CF7">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允收期                         （距生产日）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9AA5B9F">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保质期≦10天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F0CF900">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3天（含）以内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14:paraId="5AE85D94">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保质期分档可调整</w:t>
            </w:r>
          </w:p>
        </w:tc>
      </w:tr>
      <w:tr w14:paraId="43F6DE28">
        <w:tblPrEx>
          <w:tblCellMar>
            <w:top w:w="0" w:type="dxa"/>
            <w:left w:w="0" w:type="dxa"/>
            <w:bottom w:w="0" w:type="dxa"/>
            <w:right w:w="0"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B6A5ADE">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806078">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9219474">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Style w:val="19"/>
                <w:rFonts w:hint="eastAsia" w:ascii="宋体" w:hAnsi="宋体" w:eastAsia="宋体" w:cs="宋体"/>
                <w:color w:val="auto"/>
                <w:sz w:val="24"/>
                <w:szCs w:val="24"/>
                <w:lang w:bidi="ar"/>
              </w:rPr>
              <w:t>10天&lt;保质期</w:t>
            </w:r>
            <w:r>
              <w:rPr>
                <w:rStyle w:val="18"/>
                <w:rFonts w:hint="eastAsia" w:ascii="宋体" w:hAnsi="宋体" w:eastAsia="宋体" w:cs="宋体"/>
                <w:color w:val="auto"/>
                <w:sz w:val="24"/>
                <w:szCs w:val="24"/>
                <w:lang w:bidi="ar"/>
              </w:rPr>
              <w:t>≦</w:t>
            </w:r>
            <w:r>
              <w:rPr>
                <w:rStyle w:val="19"/>
                <w:rFonts w:hint="eastAsia" w:ascii="宋体" w:hAnsi="宋体" w:eastAsia="宋体" w:cs="宋体"/>
                <w:color w:val="auto"/>
                <w:sz w:val="24"/>
                <w:szCs w:val="24"/>
                <w:lang w:bidi="ar"/>
              </w:rPr>
              <w:t>30天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92B611A">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7天（含）以内</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14:paraId="5F5822FE">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11591755">
        <w:tblPrEx>
          <w:tblCellMar>
            <w:top w:w="0" w:type="dxa"/>
            <w:left w:w="0" w:type="dxa"/>
            <w:bottom w:w="0" w:type="dxa"/>
            <w:right w:w="0" w:type="dxa"/>
          </w:tblCellMar>
        </w:tblPrEx>
        <w:trPr>
          <w:trHeight w:val="2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23DAE23">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B2C6E8">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7C90267">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Style w:val="20"/>
                <w:rFonts w:hint="eastAsia" w:ascii="宋体" w:hAnsi="宋体" w:eastAsia="宋体" w:cs="宋体"/>
                <w:color w:val="auto"/>
                <w:sz w:val="24"/>
                <w:szCs w:val="24"/>
                <w:lang w:bidi="ar"/>
              </w:rPr>
              <w:t>30</w:t>
            </w:r>
            <w:r>
              <w:rPr>
                <w:rStyle w:val="19"/>
                <w:rFonts w:hint="eastAsia" w:ascii="宋体" w:hAnsi="宋体" w:eastAsia="宋体" w:cs="宋体"/>
                <w:color w:val="auto"/>
                <w:sz w:val="24"/>
                <w:szCs w:val="24"/>
                <w:lang w:bidi="ar"/>
              </w:rPr>
              <w:t>天&lt;保质期≦60天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7EF1DEA">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保质期的1/2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14:paraId="31C0B1A2">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279436B5">
        <w:tblPrEx>
          <w:tblCellMar>
            <w:top w:w="0" w:type="dxa"/>
            <w:left w:w="0" w:type="dxa"/>
            <w:bottom w:w="0" w:type="dxa"/>
            <w:right w:w="0" w:type="dxa"/>
          </w:tblCellMar>
        </w:tblPrEx>
        <w:trPr>
          <w:trHeight w:val="2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9C531DD">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EE7236">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DB7B1A2">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Style w:val="20"/>
                <w:rFonts w:hint="eastAsia" w:ascii="宋体" w:hAnsi="宋体" w:eastAsia="宋体" w:cs="宋体"/>
                <w:color w:val="auto"/>
                <w:sz w:val="24"/>
                <w:szCs w:val="24"/>
                <w:lang w:bidi="ar"/>
              </w:rPr>
              <w:t>60</w:t>
            </w:r>
            <w:r>
              <w:rPr>
                <w:rStyle w:val="19"/>
                <w:rFonts w:hint="eastAsia" w:ascii="宋体" w:hAnsi="宋体" w:eastAsia="宋体" w:cs="宋体"/>
                <w:color w:val="auto"/>
                <w:sz w:val="24"/>
                <w:szCs w:val="24"/>
                <w:lang w:bidi="ar"/>
              </w:rPr>
              <w:t>天</w:t>
            </w:r>
            <w:r>
              <w:rPr>
                <w:rStyle w:val="20"/>
                <w:rFonts w:hint="eastAsia" w:ascii="宋体" w:hAnsi="宋体" w:eastAsia="宋体" w:cs="宋体"/>
                <w:color w:val="auto"/>
                <w:sz w:val="24"/>
                <w:szCs w:val="24"/>
                <w:lang w:bidi="ar"/>
              </w:rPr>
              <w:t>&lt;</w:t>
            </w:r>
            <w:r>
              <w:rPr>
                <w:rStyle w:val="19"/>
                <w:rFonts w:hint="eastAsia" w:ascii="宋体" w:hAnsi="宋体" w:eastAsia="宋体" w:cs="宋体"/>
                <w:color w:val="auto"/>
                <w:sz w:val="24"/>
                <w:szCs w:val="24"/>
                <w:lang w:bidi="ar"/>
              </w:rPr>
              <w:t>保质期≦300天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B4E5A94">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14:paraId="4EC6C354">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75AB9B6B">
        <w:tblPrEx>
          <w:tblCellMar>
            <w:top w:w="0" w:type="dxa"/>
            <w:left w:w="0" w:type="dxa"/>
            <w:bottom w:w="0" w:type="dxa"/>
            <w:right w:w="0"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91F3D3D">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1F4D0E">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00E9F8B">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Style w:val="19"/>
                <w:rFonts w:hint="eastAsia" w:ascii="宋体" w:hAnsi="宋体" w:eastAsia="宋体" w:cs="宋体"/>
                <w:color w:val="auto"/>
                <w:sz w:val="24"/>
                <w:szCs w:val="24"/>
                <w:lang w:bidi="ar"/>
              </w:rPr>
              <w:t>保质期&gt;300天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7B7B8B9">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14:paraId="4B3970C4">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569D0F24">
        <w:tblPrEx>
          <w:tblCellMar>
            <w:top w:w="0" w:type="dxa"/>
            <w:left w:w="0" w:type="dxa"/>
            <w:bottom w:w="0" w:type="dxa"/>
            <w:right w:w="0"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EBEC14E">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82DA89">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允出期                                             （保质期截止日）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ABBEDF2">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保质期≦10天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65ED5DC">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前1天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14:paraId="5C15F6D4">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2B6C111E">
        <w:tblPrEx>
          <w:tblCellMar>
            <w:top w:w="0" w:type="dxa"/>
            <w:left w:w="0" w:type="dxa"/>
            <w:bottom w:w="0" w:type="dxa"/>
            <w:right w:w="0"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9F72C48">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9048F7">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C370DF9">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Style w:val="19"/>
                <w:rFonts w:hint="eastAsia" w:ascii="宋体" w:hAnsi="宋体" w:eastAsia="宋体" w:cs="宋体"/>
                <w:color w:val="auto"/>
                <w:sz w:val="24"/>
                <w:szCs w:val="24"/>
                <w:lang w:bidi="ar"/>
              </w:rPr>
              <w:t>10天&lt;保质期</w:t>
            </w:r>
            <w:r>
              <w:rPr>
                <w:rStyle w:val="18"/>
                <w:rFonts w:hint="eastAsia" w:ascii="宋体" w:hAnsi="宋体" w:eastAsia="宋体" w:cs="宋体"/>
                <w:color w:val="auto"/>
                <w:sz w:val="24"/>
                <w:szCs w:val="24"/>
                <w:lang w:bidi="ar"/>
              </w:rPr>
              <w:t>≦</w:t>
            </w:r>
            <w:r>
              <w:rPr>
                <w:rStyle w:val="19"/>
                <w:rFonts w:hint="eastAsia" w:ascii="宋体" w:hAnsi="宋体" w:eastAsia="宋体" w:cs="宋体"/>
                <w:color w:val="auto"/>
                <w:sz w:val="24"/>
                <w:szCs w:val="24"/>
                <w:lang w:bidi="ar"/>
              </w:rPr>
              <w:t>30天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B2EB72E">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前2天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14:paraId="0D3D9084">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6B5A0873">
        <w:tblPrEx>
          <w:tblCellMar>
            <w:top w:w="0" w:type="dxa"/>
            <w:left w:w="0" w:type="dxa"/>
            <w:bottom w:w="0" w:type="dxa"/>
            <w:right w:w="0" w:type="dxa"/>
          </w:tblCellMar>
        </w:tblPrEx>
        <w:trPr>
          <w:trHeight w:val="2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03C8FC6">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A16AFA">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FDC056B">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Style w:val="20"/>
                <w:rFonts w:hint="eastAsia" w:ascii="宋体" w:hAnsi="宋体" w:eastAsia="宋体" w:cs="宋体"/>
                <w:color w:val="auto"/>
                <w:sz w:val="24"/>
                <w:szCs w:val="24"/>
                <w:lang w:bidi="ar"/>
              </w:rPr>
              <w:t>30</w:t>
            </w:r>
            <w:r>
              <w:rPr>
                <w:rStyle w:val="19"/>
                <w:rFonts w:hint="eastAsia" w:ascii="宋体" w:hAnsi="宋体" w:eastAsia="宋体" w:cs="宋体"/>
                <w:color w:val="auto"/>
                <w:sz w:val="24"/>
                <w:szCs w:val="24"/>
                <w:lang w:bidi="ar"/>
              </w:rPr>
              <w:t>天&lt;保质期≦60天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0435D2D">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前7天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14:paraId="613BCBF8">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3F81DCFC">
        <w:tblPrEx>
          <w:tblCellMar>
            <w:top w:w="0" w:type="dxa"/>
            <w:left w:w="0" w:type="dxa"/>
            <w:bottom w:w="0" w:type="dxa"/>
            <w:right w:w="0" w:type="dxa"/>
          </w:tblCellMar>
        </w:tblPrEx>
        <w:trPr>
          <w:trHeight w:val="2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411725F">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05BE11">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DF8FCC4">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Style w:val="20"/>
                <w:rFonts w:hint="eastAsia" w:ascii="宋体" w:hAnsi="宋体" w:eastAsia="宋体" w:cs="宋体"/>
                <w:color w:val="auto"/>
                <w:sz w:val="24"/>
                <w:szCs w:val="24"/>
                <w:lang w:bidi="ar"/>
              </w:rPr>
              <w:t>60</w:t>
            </w:r>
            <w:r>
              <w:rPr>
                <w:rStyle w:val="19"/>
                <w:rFonts w:hint="eastAsia" w:ascii="宋体" w:hAnsi="宋体" w:eastAsia="宋体" w:cs="宋体"/>
                <w:color w:val="auto"/>
                <w:sz w:val="24"/>
                <w:szCs w:val="24"/>
                <w:lang w:bidi="ar"/>
              </w:rPr>
              <w:t>天</w:t>
            </w:r>
            <w:r>
              <w:rPr>
                <w:rStyle w:val="20"/>
                <w:rFonts w:hint="eastAsia" w:ascii="宋体" w:hAnsi="宋体" w:eastAsia="宋体" w:cs="宋体"/>
                <w:color w:val="auto"/>
                <w:sz w:val="24"/>
                <w:szCs w:val="24"/>
                <w:lang w:bidi="ar"/>
              </w:rPr>
              <w:t>&lt;</w:t>
            </w:r>
            <w:r>
              <w:rPr>
                <w:rStyle w:val="19"/>
                <w:rFonts w:hint="eastAsia" w:ascii="宋体" w:hAnsi="宋体" w:eastAsia="宋体" w:cs="宋体"/>
                <w:color w:val="auto"/>
                <w:sz w:val="24"/>
                <w:szCs w:val="24"/>
                <w:lang w:bidi="ar"/>
              </w:rPr>
              <w:t>保质期≦300天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11E320A">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14:paraId="3CA9D279">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071572FD">
        <w:tblPrEx>
          <w:tblCellMar>
            <w:top w:w="0" w:type="dxa"/>
            <w:left w:w="0" w:type="dxa"/>
            <w:bottom w:w="0" w:type="dxa"/>
            <w:right w:w="0"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A54147E">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A1F53A">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98D287A">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Style w:val="19"/>
                <w:rFonts w:hint="eastAsia" w:ascii="宋体" w:hAnsi="宋体" w:eastAsia="宋体" w:cs="宋体"/>
                <w:color w:val="auto"/>
                <w:sz w:val="24"/>
                <w:szCs w:val="24"/>
                <w:lang w:bidi="ar"/>
              </w:rPr>
              <w:t>保质期&gt;300天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8F6D7FB">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14:paraId="62CA8446">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6DD12221">
        <w:tblPrEx>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nil"/>
              <w:right w:val="single" w:color="000000" w:sz="4" w:space="0"/>
            </w:tcBorders>
            <w:shd w:val="clear" w:color="auto" w:fill="auto"/>
            <w:noWrap/>
            <w:tcMar>
              <w:top w:w="10" w:type="dxa"/>
              <w:left w:w="10" w:type="dxa"/>
              <w:right w:w="10" w:type="dxa"/>
            </w:tcMar>
            <w:vAlign w:val="center"/>
          </w:tcPr>
          <w:p w14:paraId="0C4EFE36">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w:t>
            </w:r>
          </w:p>
        </w:tc>
        <w:tc>
          <w:tcPr>
            <w:tcW w:w="0" w:type="auto"/>
            <w:tcBorders>
              <w:top w:val="single" w:color="000000" w:sz="4" w:space="0"/>
              <w:left w:val="single" w:color="000000" w:sz="4" w:space="0"/>
              <w:bottom w:val="nil"/>
              <w:right w:val="single" w:color="000000" w:sz="4" w:space="0"/>
            </w:tcBorders>
            <w:shd w:val="clear" w:color="auto" w:fill="auto"/>
            <w:noWrap/>
            <w:tcMar>
              <w:top w:w="10" w:type="dxa"/>
              <w:left w:w="10" w:type="dxa"/>
              <w:right w:w="10" w:type="dxa"/>
            </w:tcMar>
            <w:vAlign w:val="center"/>
          </w:tcPr>
          <w:p w14:paraId="56AB463D">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入库规则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EB09EEE">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同SKU生产日期入库倒置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4F64D21">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允许，执行异常处理流程</w:t>
            </w:r>
          </w:p>
        </w:tc>
        <w:tc>
          <w:tcPr>
            <w:tcW w:w="0" w:type="auto"/>
            <w:tcBorders>
              <w:top w:val="single" w:color="000000" w:sz="4" w:space="0"/>
              <w:left w:val="single" w:color="000000" w:sz="4" w:space="0"/>
              <w:bottom w:val="nil"/>
              <w:right w:val="single" w:color="000000" w:sz="4" w:space="0"/>
            </w:tcBorders>
            <w:shd w:val="clear" w:color="auto" w:fill="auto"/>
            <w:noWrap/>
            <w:tcMar>
              <w:top w:w="10" w:type="dxa"/>
              <w:left w:w="10" w:type="dxa"/>
              <w:right w:w="10" w:type="dxa"/>
            </w:tcMar>
            <w:vAlign w:val="center"/>
          </w:tcPr>
          <w:p w14:paraId="71B3C05C">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0224CD8B">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CB9FECA">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42DF78A">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到货批次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8B0987C">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同一SKU到货最大批次数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7656298">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Style w:val="18"/>
                <w:rFonts w:hint="eastAsia" w:ascii="宋体" w:hAnsi="宋体" w:eastAsia="宋体" w:cs="宋体"/>
                <w:color w:val="auto"/>
                <w:sz w:val="24"/>
                <w:szCs w:val="24"/>
                <w:lang w:bidi="ar"/>
              </w:rPr>
              <w:t>≦</w:t>
            </w:r>
            <w:r>
              <w:rPr>
                <w:rStyle w:val="19"/>
                <w:rFonts w:hint="eastAsia" w:ascii="宋体" w:hAnsi="宋体" w:eastAsia="宋体" w:cs="宋体"/>
                <w:color w:val="auto"/>
                <w:sz w:val="24"/>
                <w:szCs w:val="24"/>
                <w:lang w:bidi="ar"/>
              </w:rPr>
              <w:t>3个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DC56952">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084FDEFD">
        <w:tblPrEx>
          <w:tblCellMar>
            <w:top w:w="0" w:type="dxa"/>
            <w:left w:w="0" w:type="dxa"/>
            <w:bottom w:w="0" w:type="dxa"/>
            <w:right w:w="0"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E59E8BC">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E2A6765">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出库规则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D2F84AE">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退货入库先出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F5C4A79">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0" w:type="auto"/>
            <w:vMerge w:val="restart"/>
            <w:tcBorders>
              <w:top w:val="single" w:color="000000" w:sz="4" w:space="0"/>
              <w:left w:val="single" w:color="000000" w:sz="4" w:space="0"/>
              <w:bottom w:val="nil"/>
              <w:right w:val="single" w:color="000000" w:sz="4" w:space="0"/>
            </w:tcBorders>
            <w:shd w:val="clear" w:color="auto" w:fill="auto"/>
            <w:noWrap/>
            <w:tcMar>
              <w:top w:w="10" w:type="dxa"/>
              <w:left w:w="10" w:type="dxa"/>
              <w:right w:w="10" w:type="dxa"/>
            </w:tcMar>
            <w:textDirection w:val="tbRlV"/>
            <w:vAlign w:val="center"/>
          </w:tcPr>
          <w:p w14:paraId="50B2E0E0">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优先顺序</w:t>
            </w:r>
          </w:p>
        </w:tc>
      </w:tr>
      <w:tr w14:paraId="3BD84601">
        <w:tblPrEx>
          <w:tblCellMar>
            <w:top w:w="0" w:type="dxa"/>
            <w:left w:w="0" w:type="dxa"/>
            <w:bottom w:w="0" w:type="dxa"/>
            <w:right w:w="0"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196DB36">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9C109CC">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4ED92E9">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同批次先进先出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EBB6F8D">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0" w:type="auto"/>
            <w:vMerge w:val="continue"/>
            <w:tcBorders>
              <w:top w:val="single" w:color="000000" w:sz="4" w:space="0"/>
              <w:left w:val="single" w:color="000000" w:sz="4" w:space="0"/>
              <w:bottom w:val="nil"/>
              <w:right w:val="single" w:color="000000" w:sz="4" w:space="0"/>
            </w:tcBorders>
            <w:shd w:val="clear" w:color="auto" w:fill="auto"/>
            <w:noWrap/>
            <w:tcMar>
              <w:top w:w="10" w:type="dxa"/>
              <w:left w:w="10" w:type="dxa"/>
              <w:right w:w="10" w:type="dxa"/>
            </w:tcMar>
            <w:textDirection w:val="tbRlV"/>
            <w:vAlign w:val="center"/>
          </w:tcPr>
          <w:p w14:paraId="66A46A78">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0EEE29E1">
        <w:tblPrEx>
          <w:tblCellMar>
            <w:top w:w="0" w:type="dxa"/>
            <w:left w:w="0" w:type="dxa"/>
            <w:bottom w:w="0" w:type="dxa"/>
            <w:right w:w="0"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E3D3787">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BEC8922">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03D91D9">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不同批次先失效先出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F389278">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0" w:type="auto"/>
            <w:vMerge w:val="continue"/>
            <w:tcBorders>
              <w:top w:val="single" w:color="000000" w:sz="4" w:space="0"/>
              <w:left w:val="single" w:color="000000" w:sz="4" w:space="0"/>
              <w:bottom w:val="nil"/>
              <w:right w:val="single" w:color="000000" w:sz="4" w:space="0"/>
            </w:tcBorders>
            <w:shd w:val="clear" w:color="auto" w:fill="auto"/>
            <w:noWrap/>
            <w:tcMar>
              <w:top w:w="10" w:type="dxa"/>
              <w:left w:w="10" w:type="dxa"/>
              <w:right w:w="10" w:type="dxa"/>
            </w:tcMar>
            <w:textDirection w:val="tbRlV"/>
            <w:vAlign w:val="center"/>
          </w:tcPr>
          <w:p w14:paraId="41D09EB4">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2C4844ED">
        <w:tblPrEx>
          <w:tblCellMar>
            <w:top w:w="0" w:type="dxa"/>
            <w:left w:w="0" w:type="dxa"/>
            <w:bottom w:w="0" w:type="dxa"/>
            <w:right w:w="0"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862C422">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3004C9C">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808BC03">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先零后整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061FF28">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0" w:type="auto"/>
            <w:vMerge w:val="continue"/>
            <w:tcBorders>
              <w:top w:val="single" w:color="000000" w:sz="4" w:space="0"/>
              <w:left w:val="single" w:color="000000" w:sz="4" w:space="0"/>
              <w:bottom w:val="nil"/>
              <w:right w:val="single" w:color="000000" w:sz="4" w:space="0"/>
            </w:tcBorders>
            <w:shd w:val="clear" w:color="auto" w:fill="auto"/>
            <w:noWrap/>
            <w:tcMar>
              <w:top w:w="10" w:type="dxa"/>
              <w:left w:w="10" w:type="dxa"/>
              <w:right w:w="10" w:type="dxa"/>
            </w:tcMar>
            <w:textDirection w:val="tbRlV"/>
            <w:vAlign w:val="center"/>
          </w:tcPr>
          <w:p w14:paraId="4DAED841">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4537DEE4">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1019411">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781227C">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7176394">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13A9AC">
            <w:pPr>
              <w:keepNext w:val="0"/>
              <w:keepLines w:val="0"/>
              <w:pageBreakBefore w:val="0"/>
              <w:kinsoku/>
              <w:wordWrap/>
              <w:overflowPunct/>
              <w:topLinePunct w:val="0"/>
              <w:autoSpaceDE/>
              <w:autoSpaceDN/>
              <w:bidi w:val="0"/>
              <w:adjustRightInd/>
              <w:spacing w:line="520" w:lineRule="exac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无送货单（含逆向）不收，“三无”货品不收，不提供违反《食品安全法》规定换贴标服务和场地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3C99390">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19AC03CA">
        <w:tblPrEx>
          <w:tblCellMar>
            <w:top w:w="0" w:type="dxa"/>
            <w:left w:w="0" w:type="dxa"/>
            <w:bottom w:w="0" w:type="dxa"/>
            <w:right w:w="0" w:type="dxa"/>
          </w:tblCellMar>
        </w:tblPrEx>
        <w:trPr>
          <w:trHeight w:val="430" w:hRule="atLeast"/>
        </w:trPr>
        <w:tc>
          <w:tcPr>
            <w:tcW w:w="10300" w:type="dxa"/>
            <w:gridSpan w:val="5"/>
            <w:tcBorders>
              <w:top w:val="single" w:color="000000" w:sz="4" w:space="0"/>
              <w:left w:val="nil"/>
              <w:bottom w:val="nil"/>
              <w:right w:val="nil"/>
            </w:tcBorders>
            <w:shd w:val="clear" w:color="auto" w:fill="auto"/>
            <w:tcMar>
              <w:top w:w="10" w:type="dxa"/>
              <w:left w:w="10" w:type="dxa"/>
              <w:right w:w="10" w:type="dxa"/>
            </w:tcMar>
            <w:vAlign w:val="center"/>
          </w:tcPr>
          <w:p w14:paraId="5FCC64BF">
            <w:pPr>
              <w:keepNext w:val="0"/>
              <w:keepLines w:val="0"/>
              <w:pageBreakBefore w:val="0"/>
              <w:kinsoku/>
              <w:wordWrap/>
              <w:overflowPunct/>
              <w:topLinePunct w:val="0"/>
              <w:autoSpaceDE/>
              <w:autoSpaceDN/>
              <w:bidi w:val="0"/>
              <w:adjustRightInd/>
              <w:spacing w:line="520" w:lineRule="exac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注：甲方另有要求，乙方按该要求执行。</w:t>
            </w:r>
          </w:p>
        </w:tc>
      </w:tr>
    </w:tbl>
    <w:p w14:paraId="261FAA5B">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p>
    <w:p w14:paraId="25B53570">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p>
    <w:sectPr>
      <w:headerReference r:id="rId3" w:type="default"/>
      <w:footerReference r:id="rId4" w:type="default"/>
      <w:pgSz w:w="11906" w:h="16838"/>
      <w:pgMar w:top="851" w:right="851" w:bottom="851" w:left="85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C750C">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B85225">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B85225">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p w14:paraId="624BD3B3">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AA2CC">
    <w:pPr>
      <w:pStyle w:val="7"/>
      <w:jc w:val="right"/>
      <w:rPr>
        <w:sz w:val="24"/>
      </w:rPr>
    </w:pPr>
    <w:r>
      <w:rPr>
        <w:rFonts w:hint="eastAsia" w:eastAsia="宋体"/>
        <w:kern w:val="0"/>
        <w:sz w:val="24"/>
      </w:rPr>
      <w:t xml:space="preserve"> </w:t>
    </w:r>
    <w:r>
      <w:rPr>
        <w:rFonts w:eastAsia="宋体"/>
        <w:kern w:val="0"/>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4YjlmN2U3MDg4YTc5OTlhZTQxYTYxOTRiNDc3ZWYifQ=="/>
  </w:docVars>
  <w:rsids>
    <w:rsidRoot w:val="001A01BE"/>
    <w:rsid w:val="0000164B"/>
    <w:rsid w:val="000254A0"/>
    <w:rsid w:val="00047911"/>
    <w:rsid w:val="0006153D"/>
    <w:rsid w:val="00064A11"/>
    <w:rsid w:val="00070C9F"/>
    <w:rsid w:val="00073C49"/>
    <w:rsid w:val="000B53CB"/>
    <w:rsid w:val="000C3875"/>
    <w:rsid w:val="000D15F5"/>
    <w:rsid w:val="000F3088"/>
    <w:rsid w:val="000F3EEF"/>
    <w:rsid w:val="000F7C8E"/>
    <w:rsid w:val="001079B4"/>
    <w:rsid w:val="001101D8"/>
    <w:rsid w:val="00123D32"/>
    <w:rsid w:val="0012540F"/>
    <w:rsid w:val="00137FF1"/>
    <w:rsid w:val="00145A2E"/>
    <w:rsid w:val="00146AB9"/>
    <w:rsid w:val="0015228E"/>
    <w:rsid w:val="00154959"/>
    <w:rsid w:val="0015523C"/>
    <w:rsid w:val="0016124C"/>
    <w:rsid w:val="001667A1"/>
    <w:rsid w:val="001A01BE"/>
    <w:rsid w:val="001B3BE3"/>
    <w:rsid w:val="001C07F6"/>
    <w:rsid w:val="001C3CD3"/>
    <w:rsid w:val="001F7541"/>
    <w:rsid w:val="0021447A"/>
    <w:rsid w:val="00214F34"/>
    <w:rsid w:val="002209D3"/>
    <w:rsid w:val="00221039"/>
    <w:rsid w:val="00226161"/>
    <w:rsid w:val="0023181C"/>
    <w:rsid w:val="00244CCC"/>
    <w:rsid w:val="00255BAD"/>
    <w:rsid w:val="00276B19"/>
    <w:rsid w:val="002804C3"/>
    <w:rsid w:val="0028119F"/>
    <w:rsid w:val="00282C70"/>
    <w:rsid w:val="002A1188"/>
    <w:rsid w:val="002A3DA9"/>
    <w:rsid w:val="002A4B28"/>
    <w:rsid w:val="002A7C19"/>
    <w:rsid w:val="002C289B"/>
    <w:rsid w:val="002C5AED"/>
    <w:rsid w:val="002F0B42"/>
    <w:rsid w:val="002F35EC"/>
    <w:rsid w:val="00302615"/>
    <w:rsid w:val="003056BE"/>
    <w:rsid w:val="00310C3A"/>
    <w:rsid w:val="00331595"/>
    <w:rsid w:val="00336810"/>
    <w:rsid w:val="00351B39"/>
    <w:rsid w:val="003900E5"/>
    <w:rsid w:val="00396D1A"/>
    <w:rsid w:val="003A5729"/>
    <w:rsid w:val="003B1B62"/>
    <w:rsid w:val="003D1F47"/>
    <w:rsid w:val="003F086A"/>
    <w:rsid w:val="003F44D6"/>
    <w:rsid w:val="003F7276"/>
    <w:rsid w:val="00405CDA"/>
    <w:rsid w:val="00415969"/>
    <w:rsid w:val="00446618"/>
    <w:rsid w:val="0046512B"/>
    <w:rsid w:val="00476676"/>
    <w:rsid w:val="00493781"/>
    <w:rsid w:val="00496CF1"/>
    <w:rsid w:val="004B20FB"/>
    <w:rsid w:val="004C09D7"/>
    <w:rsid w:val="004D58FC"/>
    <w:rsid w:val="005006C0"/>
    <w:rsid w:val="005014A6"/>
    <w:rsid w:val="0050243F"/>
    <w:rsid w:val="0051344D"/>
    <w:rsid w:val="0051778D"/>
    <w:rsid w:val="00530841"/>
    <w:rsid w:val="0054118D"/>
    <w:rsid w:val="00547980"/>
    <w:rsid w:val="005563B1"/>
    <w:rsid w:val="00556D55"/>
    <w:rsid w:val="005711E7"/>
    <w:rsid w:val="0058697E"/>
    <w:rsid w:val="0059395B"/>
    <w:rsid w:val="005A4188"/>
    <w:rsid w:val="005A6A3B"/>
    <w:rsid w:val="005C116E"/>
    <w:rsid w:val="005D3746"/>
    <w:rsid w:val="00600D1F"/>
    <w:rsid w:val="00603927"/>
    <w:rsid w:val="00613D7E"/>
    <w:rsid w:val="00614D19"/>
    <w:rsid w:val="00614E3D"/>
    <w:rsid w:val="0065240C"/>
    <w:rsid w:val="00663485"/>
    <w:rsid w:val="00673745"/>
    <w:rsid w:val="00695E99"/>
    <w:rsid w:val="006A444C"/>
    <w:rsid w:val="006B0B2B"/>
    <w:rsid w:val="006B7665"/>
    <w:rsid w:val="006C34DC"/>
    <w:rsid w:val="006E40DC"/>
    <w:rsid w:val="007023E0"/>
    <w:rsid w:val="007052C9"/>
    <w:rsid w:val="00712DD1"/>
    <w:rsid w:val="007537FF"/>
    <w:rsid w:val="00762D61"/>
    <w:rsid w:val="007B3241"/>
    <w:rsid w:val="007C2324"/>
    <w:rsid w:val="007C61B0"/>
    <w:rsid w:val="007D4D15"/>
    <w:rsid w:val="007F37EE"/>
    <w:rsid w:val="008206DC"/>
    <w:rsid w:val="00843F8E"/>
    <w:rsid w:val="0084540C"/>
    <w:rsid w:val="0085242F"/>
    <w:rsid w:val="00881064"/>
    <w:rsid w:val="008959EA"/>
    <w:rsid w:val="008A4018"/>
    <w:rsid w:val="008B0E4A"/>
    <w:rsid w:val="008C740C"/>
    <w:rsid w:val="008D782A"/>
    <w:rsid w:val="008E3316"/>
    <w:rsid w:val="008E5E8A"/>
    <w:rsid w:val="00914F9C"/>
    <w:rsid w:val="00920EF5"/>
    <w:rsid w:val="009559F3"/>
    <w:rsid w:val="009702F2"/>
    <w:rsid w:val="00973FB8"/>
    <w:rsid w:val="0098403F"/>
    <w:rsid w:val="0098600C"/>
    <w:rsid w:val="009A6B53"/>
    <w:rsid w:val="009A7E19"/>
    <w:rsid w:val="009C4160"/>
    <w:rsid w:val="009D6D59"/>
    <w:rsid w:val="009F0FBB"/>
    <w:rsid w:val="00A23E6E"/>
    <w:rsid w:val="00A2578B"/>
    <w:rsid w:val="00A50971"/>
    <w:rsid w:val="00A54321"/>
    <w:rsid w:val="00A65D23"/>
    <w:rsid w:val="00A710D3"/>
    <w:rsid w:val="00A83A28"/>
    <w:rsid w:val="00A84CD7"/>
    <w:rsid w:val="00A916DE"/>
    <w:rsid w:val="00A91AB4"/>
    <w:rsid w:val="00A95A78"/>
    <w:rsid w:val="00A97096"/>
    <w:rsid w:val="00AB1E23"/>
    <w:rsid w:val="00AC182C"/>
    <w:rsid w:val="00AE3AFE"/>
    <w:rsid w:val="00B26CB6"/>
    <w:rsid w:val="00B61D07"/>
    <w:rsid w:val="00B829C4"/>
    <w:rsid w:val="00B85619"/>
    <w:rsid w:val="00B8787B"/>
    <w:rsid w:val="00BE2B56"/>
    <w:rsid w:val="00BE5C98"/>
    <w:rsid w:val="00BF65ED"/>
    <w:rsid w:val="00C05D19"/>
    <w:rsid w:val="00C15416"/>
    <w:rsid w:val="00C16B5F"/>
    <w:rsid w:val="00C27545"/>
    <w:rsid w:val="00C35C9E"/>
    <w:rsid w:val="00C377A4"/>
    <w:rsid w:val="00C424E5"/>
    <w:rsid w:val="00C561D3"/>
    <w:rsid w:val="00C74AE4"/>
    <w:rsid w:val="00C84B8F"/>
    <w:rsid w:val="00C84C89"/>
    <w:rsid w:val="00CB6774"/>
    <w:rsid w:val="00CC3583"/>
    <w:rsid w:val="00CC35D4"/>
    <w:rsid w:val="00D14E1F"/>
    <w:rsid w:val="00D235D9"/>
    <w:rsid w:val="00D60459"/>
    <w:rsid w:val="00D854B3"/>
    <w:rsid w:val="00DA647A"/>
    <w:rsid w:val="00DB7B5D"/>
    <w:rsid w:val="00DE1F14"/>
    <w:rsid w:val="00DF6440"/>
    <w:rsid w:val="00E133F9"/>
    <w:rsid w:val="00E21CBB"/>
    <w:rsid w:val="00E516B1"/>
    <w:rsid w:val="00E628E2"/>
    <w:rsid w:val="00E66120"/>
    <w:rsid w:val="00E67502"/>
    <w:rsid w:val="00E71654"/>
    <w:rsid w:val="00E76FD0"/>
    <w:rsid w:val="00E9397A"/>
    <w:rsid w:val="00E94DA4"/>
    <w:rsid w:val="00EA32F2"/>
    <w:rsid w:val="00EA7A0B"/>
    <w:rsid w:val="00EF348F"/>
    <w:rsid w:val="00EF644A"/>
    <w:rsid w:val="00F15BB0"/>
    <w:rsid w:val="00F31C7A"/>
    <w:rsid w:val="00F3282D"/>
    <w:rsid w:val="00F521F3"/>
    <w:rsid w:val="00F57353"/>
    <w:rsid w:val="00F71C7D"/>
    <w:rsid w:val="00F76956"/>
    <w:rsid w:val="00F81C5A"/>
    <w:rsid w:val="00FB74BD"/>
    <w:rsid w:val="00FC02BF"/>
    <w:rsid w:val="00FD7CAA"/>
    <w:rsid w:val="0119677B"/>
    <w:rsid w:val="02AC7D5F"/>
    <w:rsid w:val="05780BCC"/>
    <w:rsid w:val="059211F2"/>
    <w:rsid w:val="06B84C89"/>
    <w:rsid w:val="07E14065"/>
    <w:rsid w:val="08716290"/>
    <w:rsid w:val="090A6581"/>
    <w:rsid w:val="0A64315D"/>
    <w:rsid w:val="0A7964DD"/>
    <w:rsid w:val="0AF02C43"/>
    <w:rsid w:val="0B7C44D7"/>
    <w:rsid w:val="0FDE77DA"/>
    <w:rsid w:val="11C646FD"/>
    <w:rsid w:val="12211934"/>
    <w:rsid w:val="12BB577E"/>
    <w:rsid w:val="13525B1D"/>
    <w:rsid w:val="13D076B2"/>
    <w:rsid w:val="16500A3A"/>
    <w:rsid w:val="17101F77"/>
    <w:rsid w:val="17F04282"/>
    <w:rsid w:val="18457D82"/>
    <w:rsid w:val="194C3802"/>
    <w:rsid w:val="1D4F1A4B"/>
    <w:rsid w:val="1D9A07EC"/>
    <w:rsid w:val="1E8E638B"/>
    <w:rsid w:val="1EF06916"/>
    <w:rsid w:val="1F093F57"/>
    <w:rsid w:val="1F525822"/>
    <w:rsid w:val="20452C91"/>
    <w:rsid w:val="22097CEF"/>
    <w:rsid w:val="22EE13BE"/>
    <w:rsid w:val="23952182"/>
    <w:rsid w:val="23D03C31"/>
    <w:rsid w:val="24557440"/>
    <w:rsid w:val="2A085799"/>
    <w:rsid w:val="2BAA1506"/>
    <w:rsid w:val="2C5002AE"/>
    <w:rsid w:val="2D8C63A3"/>
    <w:rsid w:val="2DA42385"/>
    <w:rsid w:val="2DE53D06"/>
    <w:rsid w:val="301C0347"/>
    <w:rsid w:val="30FD3D3F"/>
    <w:rsid w:val="31FE2837"/>
    <w:rsid w:val="320C1861"/>
    <w:rsid w:val="323B0398"/>
    <w:rsid w:val="3293788C"/>
    <w:rsid w:val="32EB1476"/>
    <w:rsid w:val="34F860CC"/>
    <w:rsid w:val="39277AD4"/>
    <w:rsid w:val="39557F91"/>
    <w:rsid w:val="398352A3"/>
    <w:rsid w:val="3CA52306"/>
    <w:rsid w:val="3CF90C34"/>
    <w:rsid w:val="3D1D6B52"/>
    <w:rsid w:val="3DBB06F7"/>
    <w:rsid w:val="3EDE27D7"/>
    <w:rsid w:val="3F4E170B"/>
    <w:rsid w:val="40F938F8"/>
    <w:rsid w:val="423948E8"/>
    <w:rsid w:val="441D5B50"/>
    <w:rsid w:val="44786BED"/>
    <w:rsid w:val="44916187"/>
    <w:rsid w:val="45FA555B"/>
    <w:rsid w:val="46DC3AA0"/>
    <w:rsid w:val="476A10AC"/>
    <w:rsid w:val="47E250E6"/>
    <w:rsid w:val="4827405B"/>
    <w:rsid w:val="489857A5"/>
    <w:rsid w:val="48E22EC4"/>
    <w:rsid w:val="4B750A1E"/>
    <w:rsid w:val="4BB87F0C"/>
    <w:rsid w:val="4BDE5BC4"/>
    <w:rsid w:val="4C3677AE"/>
    <w:rsid w:val="4F2204BE"/>
    <w:rsid w:val="50937738"/>
    <w:rsid w:val="5181360E"/>
    <w:rsid w:val="55723BF8"/>
    <w:rsid w:val="55FD30EB"/>
    <w:rsid w:val="5714693E"/>
    <w:rsid w:val="582C415B"/>
    <w:rsid w:val="59690461"/>
    <w:rsid w:val="59DE3D54"/>
    <w:rsid w:val="5A8D3705"/>
    <w:rsid w:val="5B2F1F99"/>
    <w:rsid w:val="5BC1482F"/>
    <w:rsid w:val="5C44438B"/>
    <w:rsid w:val="5C8E0F41"/>
    <w:rsid w:val="5D916F3A"/>
    <w:rsid w:val="5DB669A1"/>
    <w:rsid w:val="5F192253"/>
    <w:rsid w:val="5FD70E51"/>
    <w:rsid w:val="610B7004"/>
    <w:rsid w:val="618B5A4F"/>
    <w:rsid w:val="625E3163"/>
    <w:rsid w:val="62BA36B6"/>
    <w:rsid w:val="62D90A3C"/>
    <w:rsid w:val="6470717E"/>
    <w:rsid w:val="658B5060"/>
    <w:rsid w:val="65BA7D85"/>
    <w:rsid w:val="65DC0F6F"/>
    <w:rsid w:val="662D3578"/>
    <w:rsid w:val="69A6768D"/>
    <w:rsid w:val="6B393442"/>
    <w:rsid w:val="6BFB7C75"/>
    <w:rsid w:val="6D761CA9"/>
    <w:rsid w:val="6D8C327A"/>
    <w:rsid w:val="6F2A2D4B"/>
    <w:rsid w:val="6F365608"/>
    <w:rsid w:val="70157D3D"/>
    <w:rsid w:val="70E62CA2"/>
    <w:rsid w:val="711A0B9D"/>
    <w:rsid w:val="72A2006A"/>
    <w:rsid w:val="75061B64"/>
    <w:rsid w:val="75524DAA"/>
    <w:rsid w:val="75EF28D4"/>
    <w:rsid w:val="775D3592"/>
    <w:rsid w:val="79621333"/>
    <w:rsid w:val="7A911ED0"/>
    <w:rsid w:val="7A9814B1"/>
    <w:rsid w:val="7B890DF9"/>
    <w:rsid w:val="7D8D0136"/>
    <w:rsid w:val="7DF10ED8"/>
    <w:rsid w:val="7F984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微软雅黑"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18" w:firstLine="480"/>
    </w:pPr>
    <w:rPr>
      <w:rFonts w:ascii="宋体" w:hAnsi="宋体" w:eastAsia="宋体" w:cs="宋体"/>
      <w:sz w:val="24"/>
      <w:szCs w:val="24"/>
      <w:lang w:val="en-US" w:eastAsia="zh-CN" w:bidi="ar-SA"/>
    </w:rPr>
  </w:style>
  <w:style w:type="paragraph" w:styleId="3">
    <w:name w:val="annotation text"/>
    <w:basedOn w:val="1"/>
    <w:link w:val="16"/>
    <w:unhideWhenUsed/>
    <w:qFormat/>
    <w:uiPriority w:val="99"/>
  </w:style>
  <w:style w:type="paragraph" w:styleId="4">
    <w:name w:val="Body Text Indent"/>
    <w:basedOn w:val="1"/>
    <w:qFormat/>
    <w:uiPriority w:val="0"/>
    <w:pPr>
      <w:tabs>
        <w:tab w:val="left" w:pos="1800"/>
      </w:tabs>
      <w:ind w:left="1080"/>
      <w:jc w:val="both"/>
    </w:pPr>
  </w:style>
  <w:style w:type="paragraph" w:styleId="5">
    <w:name w:val="Balloon Text"/>
    <w:basedOn w:val="1"/>
    <w:link w:val="21"/>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7"/>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kern w:val="0"/>
      <w:sz w:val="24"/>
      <w:szCs w:val="24"/>
    </w:rPr>
  </w:style>
  <w:style w:type="paragraph" w:styleId="9">
    <w:name w:val="Normal (Web)"/>
    <w:basedOn w:val="1"/>
    <w:qFormat/>
    <w:uiPriority w:val="99"/>
    <w:pPr>
      <w:spacing w:before="100" w:beforeAutospacing="1" w:after="100" w:afterAutospacing="1"/>
    </w:pPr>
    <w:rPr>
      <w:rFonts w:ascii="宋体" w:hAnsi="宋体" w:eastAsia="宋体" w:cs="宋体"/>
      <w:kern w:val="0"/>
      <w:sz w:val="24"/>
      <w:szCs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7"/>
    <w:qFormat/>
    <w:uiPriority w:val="99"/>
    <w:rPr>
      <w:sz w:val="18"/>
      <w:szCs w:val="18"/>
    </w:rPr>
  </w:style>
  <w:style w:type="character" w:customStyle="1" w:styleId="14">
    <w:name w:val="页脚 字符"/>
    <w:basedOn w:val="12"/>
    <w:link w:val="6"/>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文字 字符"/>
    <w:basedOn w:val="12"/>
    <w:link w:val="3"/>
    <w:qFormat/>
    <w:uiPriority w:val="99"/>
    <w:rPr>
      <w:rFonts w:ascii="Calibri" w:hAnsi="Calibri" w:eastAsia="微软雅黑" w:cs="Times New Roman"/>
    </w:rPr>
  </w:style>
  <w:style w:type="character" w:customStyle="1" w:styleId="17">
    <w:name w:val="HTML 预设格式 字符"/>
    <w:basedOn w:val="12"/>
    <w:link w:val="8"/>
    <w:qFormat/>
    <w:uiPriority w:val="99"/>
    <w:rPr>
      <w:rFonts w:ascii="宋体" w:hAnsi="宋体" w:eastAsia="宋体" w:cs="宋体"/>
      <w:kern w:val="0"/>
      <w:sz w:val="24"/>
      <w:szCs w:val="24"/>
    </w:rPr>
  </w:style>
  <w:style w:type="character" w:customStyle="1" w:styleId="18">
    <w:name w:val="font41"/>
    <w:basedOn w:val="12"/>
    <w:qFormat/>
    <w:uiPriority w:val="0"/>
    <w:rPr>
      <w:rFonts w:hint="eastAsia" w:ascii="微软雅黑" w:hAnsi="微软雅黑" w:eastAsia="微软雅黑" w:cs="微软雅黑"/>
      <w:color w:val="000000"/>
      <w:sz w:val="22"/>
      <w:szCs w:val="22"/>
      <w:u w:val="none"/>
    </w:rPr>
  </w:style>
  <w:style w:type="character" w:customStyle="1" w:styleId="19">
    <w:name w:val="font01"/>
    <w:basedOn w:val="12"/>
    <w:qFormat/>
    <w:uiPriority w:val="0"/>
    <w:rPr>
      <w:rFonts w:hint="eastAsia" w:ascii="等线" w:hAnsi="等线" w:eastAsia="等线" w:cs="等线"/>
      <w:color w:val="000000"/>
      <w:sz w:val="22"/>
      <w:szCs w:val="22"/>
      <w:u w:val="none"/>
    </w:rPr>
  </w:style>
  <w:style w:type="character" w:customStyle="1" w:styleId="20">
    <w:name w:val="font11"/>
    <w:basedOn w:val="12"/>
    <w:qFormat/>
    <w:uiPriority w:val="0"/>
    <w:rPr>
      <w:rFonts w:ascii="Calibri" w:hAnsi="Calibri" w:cs="Calibri"/>
      <w:color w:val="000000"/>
      <w:sz w:val="22"/>
      <w:szCs w:val="22"/>
      <w:u w:val="none"/>
    </w:rPr>
  </w:style>
  <w:style w:type="character" w:customStyle="1" w:styleId="21">
    <w:name w:val="批注框文本 字符"/>
    <w:basedOn w:val="12"/>
    <w:link w:val="5"/>
    <w:semiHidden/>
    <w:qFormat/>
    <w:uiPriority w:val="99"/>
    <w:rPr>
      <w:rFonts w:ascii="Calibri" w:hAnsi="Calibri" w:eastAsia="微软雅黑"/>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0CA337-5F5A-4724-8632-317952E22A55}">
  <ds:schemaRefs/>
</ds:datastoreItem>
</file>

<file path=docProps/app.xml><?xml version="1.0" encoding="utf-8"?>
<Properties xmlns="http://schemas.openxmlformats.org/officeDocument/2006/extended-properties" xmlns:vt="http://schemas.openxmlformats.org/officeDocument/2006/docPropsVTypes">
  <Template>Normal</Template>
  <Pages>12</Pages>
  <Words>6842</Words>
  <Characters>7029</Characters>
  <Lines>49</Lines>
  <Paragraphs>13</Paragraphs>
  <TotalTime>0</TotalTime>
  <ScaleCrop>false</ScaleCrop>
  <LinksUpToDate>false</LinksUpToDate>
  <CharactersWithSpaces>7544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2020-08-01T09:37:00Z</dcterms:created>
  <dc:creator>727823735@qq.com</dc:creator>
  <cp:lastModifiedBy>he</cp:lastModifiedBy>
  <cp:lastPrinted>2020-08-12T02:41:00Z</cp:lastPrinted>
  <dcterms:modified xsi:type="dcterms:W3CDTF">2025-01-17T07:29:38Z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2FB6540EAF86482991C4917DDF0F0B96</vt:lpwstr>
  </property>
  <property fmtid="{D5CDD505-2E9C-101B-9397-08002B2CF9AE}" pid="4" name="KSOTemplateDocerSaveRecord">
    <vt:lpwstr>eyJoZGlkIjoiYWU4YjlmN2U3MDg4YTc5OTlhZTQxYTYxOTRiNDc3ZWYiLCJ1c2VySWQiOiI1MjI1MDE2MzEifQ==</vt:lpwstr>
  </property>
</Properties>
</file>